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DocumentTitle"/>
      </w:pPr>
      <w:r>
        <w:t>Иск о перерасчёте платы за неоказанные или некачественные услуги ЖКХ</w:t>
      </w:r>
    </w:p>
    <w:p>
      <w:pPr>
        <w:pStyle w:val="SmallNote"/>
      </w:pPr>
      <w:r>
        <w:t>Категория: Иски  •  Статья сайта: №226</w:t>
      </w:r>
    </w:p>
    <w:p>
      <w:pPr>
        <w:pStyle w:val="SmallNote"/>
      </w:pPr>
      <w:r>
        <w:rPr>
          <w:color w:val="676767"/>
        </w:rPr>
        <w:t>Структура: ИСК ПО ГПК РФ: шапка • описательная часть • мотивировочная часть • расчёт • просительная часть • приложения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5F0E4"/>
            <w:tcBorders>
              <w:top w:val="single" w:sz="8" w:space="0" w:color="8F2B24"/>
              <w:left w:val="single" w:sz="8" w:space="0" w:color="8F2B24"/>
              <w:bottom w:val="single" w:sz="8" w:space="0" w:color="8F2B24"/>
              <w:right w:val="single" w:sz="8" w:space="0" w:color="8F2B24"/>
              <w:insideH w:val="single" w:sz="8" w:space="0" w:color="8F2B24"/>
              <w:insideV w:val="single" w:sz="8" w:space="0" w:color="8F2B24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Когда использовать. </w:t>
            </w:r>
            <w:r>
              <w:rPr>
                <w:color w:val="14213D"/>
              </w:rPr>
              <w:t>Исполнитель отказал в обоснованном перерасчёте, нарушение и начисления подтверждены, а истец разделил коммунальные услуги и содержание жилья.</w:t>
            </w:r>
          </w:p>
        </w:tc>
      </w:tr>
    </w:tbl>
    <w:p>
      <w:pPr>
        <w:pStyle w:val="Heading2"/>
      </w:pPr>
      <w:r>
        <w:t>Куда и от кого</w:t>
      </w:r>
    </w:p>
    <w:p>
      <w:pPr>
        <w:spacing w:after="40"/>
        <w:jc w:val="right"/>
      </w:pPr>
      <w:r>
        <w:rPr>
          <w:color w:val="14213D"/>
          <w:sz w:val="20"/>
        </w:rPr>
        <w:t>В [мировой/районный суд по правилам подсудности]</w:t>
      </w:r>
    </w:p>
    <w:p>
      <w:pPr>
        <w:spacing w:after="40"/>
        <w:jc w:val="left"/>
      </w:pPr>
      <w:r>
        <w:rPr>
          <w:color w:val="14213D"/>
          <w:sz w:val="20"/>
        </w:rPr>
        <w:t>Истец-потребитель: [ФИО, адрес, дата и место рождения, контакты, идентификатор]</w:t>
      </w:r>
    </w:p>
    <w:p>
      <w:pPr>
        <w:spacing w:after="40"/>
        <w:jc w:val="left"/>
      </w:pPr>
      <w:r>
        <w:rPr>
          <w:color w:val="14213D"/>
          <w:sz w:val="20"/>
        </w:rPr>
        <w:t>Ответчик: [УК/ТСЖ/РСО, адрес, ИНН/ОГРН]</w:t>
      </w:r>
    </w:p>
    <w:p>
      <w:pPr>
        <w:spacing w:after="40"/>
        <w:jc w:val="left"/>
      </w:pPr>
      <w:r>
        <w:rPr>
          <w:color w:val="14213D"/>
          <w:sz w:val="20"/>
        </w:rPr>
        <w:t>Третьи лица: [расчётный центр, ГЖИ — при основаниях]</w:t>
      </w:r>
    </w:p>
    <w:p>
      <w:pPr>
        <w:spacing w:after="40"/>
        <w:jc w:val="left"/>
      </w:pPr>
      <w:r>
        <w:rPr>
          <w:color w:val="14213D"/>
          <w:sz w:val="20"/>
        </w:rPr>
        <w:t>Цена иска: [имущественные требования] • Госпошлина: [льгота/расчёт]</w:t>
      </w:r>
    </w:p>
    <w:p>
      <w:pPr>
        <w:pStyle w:val="Heading1"/>
      </w:pPr>
      <w:r>
        <w:t>ИСКОВОЕ ЗАЯВЛЕНИЕ О ПЕРЕРАСЧЁТЕ ПЛАТЫ И ЗАЩИТЕ ПРАВ ПОТРЕБИТЕЛЯ</w:t>
      </w:r>
    </w:p>
    <w:p>
      <w:pPr>
        <w:pStyle w:val="Heading2"/>
      </w:pPr>
      <w:r>
        <w:t>ОПИСАТЕЛЬНАЯ ЧАСТЬ</w:t>
      </w:r>
    </w:p>
    <w:p>
      <w:r>
        <w:t>Ответчик начислил за [услуга/содержание] за период [даты] [сумма]. Фактически имелись [перерывы/параметры качества/невыполненные работы], зафиксированные [акты, заявки, приборы].</w:t>
      </w:r>
    </w:p>
    <w:p>
      <w:r>
        <w:t>Заявление о перерасчёте вручено [дата], ответ [суть]/ответа нет. В расчёте отдельно указаны коммунальные услуги по Правилам № 354 и содержание жилья по Правилам № 491.</w:t>
      </w:r>
    </w:p>
    <w:p>
      <w:pPr>
        <w:pStyle w:val="Heading2"/>
      </w:pPr>
      <w:r>
        <w:t>МОТИВИРОВОЧНАЯ ЧАСТЬ</w:t>
      </w:r>
    </w:p>
    <w:p>
      <w:r>
        <w:t>Плата вносится за фактически предоставленные услуги с учётом установленных требований к качеству и допустимых перерывов. Правила № 354 устанавливают порядок изменения платы за коммунальные услуги и отдельные условия временного отсутствия; Правила № 491 — уменьшение платы за ненадлежащее содержание общего имущества. При применимости Закона о защите прав потребителей возможны моральный вред и штраф.</w:t>
      </w:r>
    </w:p>
    <w:p>
      <w:pPr>
        <w:pStyle w:val="Heading2"/>
      </w:pPr>
      <w:r>
        <w:t>РАСЧЁТ ТРЕБОВАНИЙ</w:t>
      </w:r>
    </w:p>
    <w:p>
      <w:r>
        <w:t>Начислено [сумма] − подлежит начислению [сумма] = перерасчёт [сумма]. Неустойка/пени [сумма] — отдельный расчёт по применимой норме. Убытки [сумма]. Моральный вред и штраф указываются отдельно.</w:t>
      </w:r>
    </w:p>
    <w:p>
      <w:pPr>
        <w:pStyle w:val="Heading2"/>
      </w:pPr>
      <w:r>
        <w:t>ПРОСИТЕЛЬНАЯ ЧАСТЬ</w:t>
      </w:r>
    </w:p>
    <w:p>
      <w:pPr>
        <w:pStyle w:val="ListNumber"/>
        <w:numPr>
          <w:ilvl w:val="0"/>
          <w:numId w:val="10"/>
        </w:numPr>
      </w:pPr>
      <w:r>
        <w:t>Обязать ответчика произвести перерасчёт за [услуга] за период [даты] в размере [сумма] руб. и выдать исправленные документы.</w:t>
      </w:r>
    </w:p>
    <w:p>
      <w:pPr>
        <w:pStyle w:val="ListNumber"/>
        <w:numPr>
          <w:ilvl w:val="0"/>
          <w:numId w:val="10"/>
        </w:numPr>
      </w:pPr>
      <w:r>
        <w:t>Взыскать излишне уплаченную сумму [сумма] руб. — если она фактически уплачена.</w:t>
      </w:r>
    </w:p>
    <w:p>
      <w:pPr>
        <w:pStyle w:val="ListNumber"/>
        <w:numPr>
          <w:ilvl w:val="0"/>
          <w:numId w:val="10"/>
        </w:numPr>
      </w:pPr>
      <w:r>
        <w:t>Признать начисление задолженности/пени необоснованным в сумме [сумма] и обязать скорректировать лицевой счёт — при наличии основания.</w:t>
      </w:r>
    </w:p>
    <w:p>
      <w:pPr>
        <w:pStyle w:val="ListNumber"/>
        <w:numPr>
          <w:ilvl w:val="0"/>
          <w:numId w:val="10"/>
        </w:numPr>
      </w:pPr>
      <w:r>
        <w:t>Взыскать убытки [сумма], компенсацию морального вреда [сумма] и потребительский штраф при наличии условий.</w:t>
      </w:r>
    </w:p>
    <w:p>
      <w:pPr>
        <w:pStyle w:val="ListNumber"/>
        <w:numPr>
          <w:ilvl w:val="0"/>
          <w:numId w:val="10"/>
        </w:numPr>
      </w:pPr>
      <w:r>
        <w:t>Взыскать судебные расходы [сумма] руб.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color w:val="14213D"/>
              </w:rPr>
              <w:t>Суду нужен проверяемый расчёт по каждой строке квитанции. Не объединяйте одной суммой воду, отопление, содержание, ОДН и вывоз отходов без отдельных оснований и формул.</w:t>
            </w:r>
          </w:p>
        </w:tc>
      </w:tr>
    </w:tbl>
    <w:p>
      <w:pPr>
        <w:pStyle w:val="Heading2"/>
      </w:pPr>
      <w:r>
        <w:t>Приложения</w:t>
      </w:r>
    </w:p>
    <w:p>
      <w:pPr>
        <w:pStyle w:val="ListBullet"/>
        <w:numPr>
          <w:ilvl w:val="0"/>
          <w:numId w:val="11"/>
        </w:numPr>
      </w:pPr>
      <w:r>
        <w:t>доказательства направления иска;</w:t>
      </w:r>
    </w:p>
    <w:p>
      <w:pPr>
        <w:pStyle w:val="ListBullet"/>
        <w:numPr>
          <w:ilvl w:val="0"/>
          <w:numId w:val="11"/>
        </w:numPr>
      </w:pPr>
      <w:r>
        <w:t>документ о льготе/госпошлине;</w:t>
      </w:r>
    </w:p>
    <w:p>
      <w:pPr>
        <w:pStyle w:val="ListBullet"/>
        <w:numPr>
          <w:ilvl w:val="0"/>
          <w:numId w:val="11"/>
        </w:numPr>
      </w:pPr>
      <w:r>
        <w:t>документы на помещение/проживание;</w:t>
      </w:r>
    </w:p>
    <w:p>
      <w:pPr>
        <w:pStyle w:val="ListBullet"/>
        <w:numPr>
          <w:ilvl w:val="0"/>
          <w:numId w:val="11"/>
        </w:numPr>
      </w:pPr>
      <w:r>
        <w:t>квитанции и детализация начислений;</w:t>
      </w:r>
    </w:p>
    <w:p>
      <w:pPr>
        <w:pStyle w:val="ListBullet"/>
        <w:numPr>
          <w:ilvl w:val="0"/>
          <w:numId w:val="11"/>
        </w:numPr>
      </w:pPr>
      <w:r>
        <w:t>акты, заявки, показания и журнал;</w:t>
      </w:r>
    </w:p>
    <w:p>
      <w:pPr>
        <w:pStyle w:val="ListBullet"/>
        <w:numPr>
          <w:ilvl w:val="0"/>
          <w:numId w:val="11"/>
        </w:numPr>
      </w:pPr>
      <w:r>
        <w:t>заявление о перерасчёте, вручение и ответ;</w:t>
      </w:r>
    </w:p>
    <w:p>
      <w:pPr>
        <w:pStyle w:val="ListBullet"/>
        <w:numPr>
          <w:ilvl w:val="0"/>
          <w:numId w:val="11"/>
        </w:numPr>
      </w:pPr>
      <w:r>
        <w:t>договор управления и перечень работ — при споре о содержании;</w:t>
      </w:r>
    </w:p>
    <w:p>
      <w:pPr>
        <w:pStyle w:val="ListBullet"/>
        <w:numPr>
          <w:ilvl w:val="0"/>
          <w:numId w:val="11"/>
        </w:numPr>
      </w:pPr>
      <w:r>
        <w:t>расчёт;</w:t>
      </w:r>
    </w:p>
    <w:p>
      <w:pPr>
        <w:pStyle w:val="ListBullet"/>
        <w:numPr>
          <w:ilvl w:val="0"/>
          <w:numId w:val="11"/>
        </w:numPr>
      </w:pPr>
      <w:r>
        <w:t>документы об убытках;</w:t>
      </w:r>
    </w:p>
    <w:p>
      <w:pPr>
        <w:pStyle w:val="ListBullet"/>
        <w:numPr>
          <w:ilvl w:val="0"/>
          <w:numId w:val="11"/>
        </w:numPr>
      </w:pPr>
      <w:r>
        <w:t>доверенность.</w:t>
      </w:r>
    </w:p>
    <w:tbl>
      <w:tblPr>
        <w:tblW w:type="dxa" w:w="9360"/>
        <w:jc w:val="center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rPr>
          <w:cantSplit/>
        </w:trPr>
        <w:tc>
          <w:tcPr>
            <w:tcW w:type="dxa" w:w="9360"/>
            <w:vAlign w:val="center"/>
            <w:shd w:fill="F2F4F7"/>
            <w:tcBorders>
              <w:top w:val="single" w:sz="8" w:space="0" w:color="B88A3B"/>
              <w:left w:val="single" w:sz="8" w:space="0" w:color="B88A3B"/>
              <w:bottom w:val="single" w:sz="8" w:space="0" w:color="B88A3B"/>
              <w:right w:val="single" w:sz="8" w:space="0" w:color="B88A3B"/>
              <w:insideH w:val="single" w:sz="8" w:space="0" w:color="B88A3B"/>
              <w:insideV w:val="single" w:sz="8" w:space="0" w:color="B88A3B"/>
            </w:tcBorders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 w:line="276" w:lineRule="auto"/>
            </w:pPr>
            <w:r>
              <w:rPr>
                <w:b/>
                <w:color w:val="6E211D"/>
              </w:rPr>
              <w:t xml:space="preserve">Правовая основа. </w:t>
            </w:r>
            <w:r>
              <w:rPr>
                <w:color w:val="14213D"/>
              </w:rPr>
              <w:t>статьи 154–157 и 161 ЖК РФ; Постановления Правительства РФ № 354 и № 491; статьи 4, 13–15, 29 и 31 Закона РФ № 2300-1 — при применимости; статьи 23–24, 28–29, 56–57, 88, 91, 94, 98, 100, 131–132 ГПК РФ; статьи 333.19 и 333.36 НК РФ.</w:t>
            </w:r>
          </w:p>
        </w:tc>
      </w:tr>
    </w:tbl>
    <w:p>
      <w:pPr>
        <w:spacing w:before="200"/>
      </w:pPr>
      <w:r>
        <w:t>Дата: «___» __________ 20__ г.        Подпись: ____________ / [ФИО] /</w:t>
      </w:r>
    </w:p>
    <w:p>
      <w:pPr>
        <w:pStyle w:val="SmallNote"/>
      </w:pPr>
      <w:r>
        <w:t>Образец и правовая основа проверены 29 августа 2026 года. Перед подачей удалите подсказки, выберите только применимые варианты, заполните факты, расчёт и приложения.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676767"/>
        <w:sz w:val="18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  <w:pBdr>
        <w:bottom w:val="single" w:sz="6" w:space="2" w:color="B88A3B"/>
      </w:pBdr>
    </w:pPr>
    <w:r>
      <w:rPr>
        <w:rFonts w:ascii="Calibri" w:hAnsi="Calibri"/>
        <w:color w:val="676767"/>
        <w:sz w:val="17"/>
      </w:rPr>
      <w:t>Юристы в джинсах • статья №226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multiLevelType w:val="singleLevel"/>
    <w:lvl w:ilvl="0">
      <w:start w:val="1"/>
      <w:numFmt w:val="decimal"/>
      <w:lvlText w:val="%1.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0">
    <w:abstractNumId w:val="9"/>
  </w:num>
  <w:abstractNum w:abstractNumId="10">
    <w:multiLevelType w:val="singleLevel"/>
    <w:lvl w:ilvl="0">
      <w:start w:val="1"/>
      <w:numFmt w:val="bullet"/>
      <w:lvlText w:val="•"/>
      <w:suff w:val="tab"/>
      <w:pPr>
        <w:tabs>
          <w:tab w:val="num" w:pos="540"/>
        </w:tabs>
        <w:ind w:left="540" w:hanging="270"/>
        <w:spacing w:after="80" w:line="300" w:lineRule="auto"/>
      </w:pPr>
      <w:rPr>
        <w:color w:val="8F2B24"/>
      </w:rPr>
    </w:lvl>
  </w:abstract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4213D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8F2B2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8F2B2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6E211D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0" w:after="80" w:line="300" w:lineRule="auto"/>
      <w:contextualSpacing/>
    </w:pPr>
    <w:rPr>
      <w:rFonts w:ascii="Calibri" w:hAnsi="Calibri"/>
      <w:color w:val="14213D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ocumentTitle">
    <w:name w:val="Document Title"/>
    <w:pPr>
      <w:keepNext/>
      <w:spacing w:before="0" w:after="160"/>
    </w:pPr>
    <w:rPr>
      <w:rFonts w:ascii="Calibri" w:hAnsi="Calibri"/>
      <w:b/>
      <w:color w:val="8F2B24"/>
      <w:sz w:val="44"/>
    </w:rPr>
  </w:style>
  <w:style w:type="paragraph" w:customStyle="1" w:styleId="SmallNote">
    <w:name w:val="Small Note"/>
    <w:pPr>
      <w:spacing w:after="80" w:line="276" w:lineRule="auto"/>
    </w:pPr>
    <w:rPr>
      <w:rFonts w:ascii="Calibri" w:hAnsi="Calibri"/>
      <w:color w:val="676767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