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прекращении гостиничных услуг в жилой квартире и устранении нарушений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№315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при доказанных признаках гостиничных услуг или иных устойчивых нарушениях прав соседей. В иске нужно описать не только частую смену жильцов, но сервис, организацию размещения и конкретные помехи; обычный краткосрочный наём автоматически не запрещён.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квартиры</w:t>
      </w:r>
    </w:p>
    <w:p>
      <w:pPr>
        <w:spacing w:after="40"/>
        <w:jc w:val="left"/>
      </w:pPr>
      <w:r>
        <w:rPr>
          <w:color w:val="14213D"/>
          <w:sz w:val="20"/>
        </w:rPr>
        <w:t>Истец: [собственник / законный пользователь соседнего помещения,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[собственник и/или организатор деятельности, адрес, идентификаторы]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[УК / ТСЖ, жилищная инспекция, орган местного самоуправления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неимущественное требование; при убытках — [сумма]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 / льгота]</w:t>
      </w:r>
    </w:p>
    <w:p>
      <w:pPr>
        <w:pStyle w:val="Heading1"/>
      </w:pPr>
      <w:r>
        <w:t>ИСКОВОЕ ЗАЯВЛЕНИЕ О ПРЕКРАЩЕНИИ НАРУШЕНИЙ ПРИ ИСПОЛЬЗОВАНИИ ЖИЛОГО ПОМЕЩЕНИЯ</w:t>
      </w:r>
    </w:p>
    <w:p>
      <w:pPr>
        <w:pStyle w:val="Heading2"/>
      </w:pPr>
      <w:r>
        <w:t>ОПИСАТЕЛЬНАЯ ЧАСТЬ</w:t>
      </w:r>
    </w:p>
    <w:p>
      <w:r>
        <w:t>Истец проживает / владеет помещением № [номер] в доме [адрес]. Ответчик использует квартиру № [номер] для [описать фактическую модель размещения]. Признаки гостиничной услуги: [конкретные признаки, объявления, администрирование, сервис].</w:t>
      </w:r>
    </w:p>
    <w:p>
      <w:r>
        <w:t>Нарушения прав истца происходят [периодичность, даты]: [шум, бесконтрольный доступ, повреждения, санитарные нарушения]. Обращения [даты] подтверждаются [акты и ответы]. Добровольно нарушения не прекращены.</w:t>
      </w:r>
    </w:p>
    <w:p>
      <w:pPr>
        <w:pStyle w:val="Heading2"/>
      </w:pPr>
      <w:r>
        <w:t>МОТИВИРОВОЧНАЯ ЧАСТЬ</w:t>
      </w:r>
    </w:p>
    <w:p>
      <w:r>
        <w:t>Жилое помещение должно использоваться с соблюдением прав соседей и правил пользования. Гостиницы и гостиничные услуги в жилых помещениях запрещены. Конституционный Суд разъяснил необходимость отличать такие услуги от допустимого краткосрочного найма по фактическим признакам и последствиям.</w:t>
      </w:r>
    </w:p>
    <w:p>
      <w:pPr>
        <w:pStyle w:val="Heading2"/>
      </w:pPr>
      <w:r>
        <w:t>ПРОСИТЕЛЬНАЯ ЧАСТЬ</w:t>
      </w:r>
    </w:p>
    <w:p>
      <w:r>
        <w:t>На основании статей 17 и 30 ЖК РФ, статей 10, 12 и 304 ГК РФ, статей 24, 30, 56–57, 131–132 ГПК РФ ПРОШУ:</w:t>
      </w:r>
    </w:p>
    <w:p>
      <w:pPr>
        <w:pStyle w:val="ListNumber"/>
        <w:numPr>
          <w:ilvl w:val="0"/>
          <w:numId w:val="10"/>
        </w:numPr>
      </w:pPr>
      <w:r>
        <w:t>Обязать ответчика прекратить оказание гостиничных услуг / использование квартиры в установленной судом незаконной форме.</w:t>
      </w:r>
    </w:p>
    <w:p>
      <w:pPr>
        <w:pStyle w:val="ListNumber"/>
        <w:numPr>
          <w:ilvl w:val="0"/>
          <w:numId w:val="10"/>
        </w:numPr>
      </w:pPr>
      <w:r>
        <w:t>Обязать ответчика устранить конкретные нарушения: [демонтировать стойку/вывеску, прекратить использование общего имущества, восстановить повреждения — только подтверждённое].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 и судебные расходы [сумма] руб. — если заявляются.</w:t>
      </w:r>
    </w:p>
    <w:p>
      <w:pPr>
        <w:pStyle w:val="ListNumber"/>
        <w:numPr>
          <w:ilvl w:val="0"/>
          <w:numId w:val="10"/>
        </w:numPr>
      </w:pPr>
      <w:r>
        <w:t>Установить судебную неустойку за неисполнение неимущественной обязанности — если требование заявлено и обосновано.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абстрактно «запретить сдавать квартиру посуточно». Формулируйте запрет конкретной незаконной деятельности и устранение доказанных нарушений.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иска;</w:t>
      </w:r>
    </w:p>
    <w:p>
      <w:pPr>
        <w:pStyle w:val="ListBullet"/>
        <w:numPr>
          <w:ilvl w:val="0"/>
          <w:numId w:val="11"/>
        </w:numPr>
      </w:pPr>
      <w:r>
        <w:t>документы о праве истца;</w:t>
      </w:r>
    </w:p>
    <w:p>
      <w:pPr>
        <w:pStyle w:val="ListBullet"/>
        <w:numPr>
          <w:ilvl w:val="0"/>
          <w:numId w:val="11"/>
        </w:numPr>
      </w:pPr>
      <w:r>
        <w:t>выписка ЕГРН на спорную квартиру — если получена законно;</w:t>
      </w:r>
    </w:p>
    <w:p>
      <w:pPr>
        <w:pStyle w:val="ListBullet"/>
        <w:numPr>
          <w:ilvl w:val="0"/>
          <w:numId w:val="11"/>
        </w:numPr>
      </w:pPr>
      <w:r>
        <w:t>скриншоты объявлений;</w:t>
      </w:r>
    </w:p>
    <w:p>
      <w:pPr>
        <w:pStyle w:val="ListBullet"/>
        <w:numPr>
          <w:ilvl w:val="0"/>
          <w:numId w:val="11"/>
        </w:numPr>
      </w:pPr>
      <w:r>
        <w:t>акты УК и органов;</w:t>
      </w:r>
    </w:p>
    <w:p>
      <w:pPr>
        <w:pStyle w:val="ListBullet"/>
        <w:numPr>
          <w:ilvl w:val="0"/>
          <w:numId w:val="11"/>
        </w:numPr>
      </w:pPr>
      <w:r>
        <w:t>журнал нарушений, видео и свидетельские объяснения;</w:t>
      </w:r>
    </w:p>
    <w:p>
      <w:pPr>
        <w:pStyle w:val="ListBullet"/>
        <w:numPr>
          <w:ilvl w:val="0"/>
          <w:numId w:val="11"/>
        </w:numPr>
      </w:pPr>
      <w:r>
        <w:t>ответы жилищной инспекции, полиции, Роспотребнадзора;</w:t>
      </w:r>
    </w:p>
    <w:p>
      <w:pPr>
        <w:pStyle w:val="ListBullet"/>
        <w:numPr>
          <w:ilvl w:val="0"/>
          <w:numId w:val="11"/>
        </w:numPr>
      </w:pPr>
      <w:r>
        <w:t>претензия ответчику;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12, 304 ГК РФ; статьи 17, 30 и 36 ЖК РФ; Постановление Конституционного Суда РФ от 23.03.2023 № 9-П; статьи 24, 30, 56–57,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