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об устранении шума и вибрации от коммерческого объекта</w:t>
      </w:r>
    </w:p>
    <w:p>
      <w:pPr>
        <w:pStyle w:val="SmallNote"/>
      </w:pPr>
      <w:r>
        <w:t>Категория: Иски  •  Статья сайта: №235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Источник и надлежащий ответчик установлены, нарушение подтверждено, а претензии и обращения не привели к результату.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[собственник/эксплуатант, адрес, ИНН/ОГРН либо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[УК, собственник, арендатор, надзорный орган — по основаниям]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 • Госпошлина: [расчёт/льгота]</w:t>
      </w:r>
    </w:p>
    <w:p>
      <w:pPr>
        <w:pStyle w:val="Heading1"/>
      </w:pPr>
      <w:r>
        <w:t>ИСКОВОЕ ЗАЯВЛЕНИЕ ОБ УСТРАНЕНИИ НАРУШЕНИЙ, СВЯЗАННЫХ С ШУМОМ И ВИБРАЦИЕЙ</w:t>
      </w:r>
    </w:p>
    <w:p>
      <w:pPr>
        <w:pStyle w:val="Heading2"/>
      </w:pPr>
      <w:r>
        <w:t>ОПИСАТЕЛЬНАЯ ЧАСТЬ</w:t>
      </w:r>
    </w:p>
    <w:p>
      <w:r>
        <w:t>Ответчик использует помещение [адрес] для [вид деятельности]. С [период] в жильё истца поступают [шум/вибрация], особенно [периоды].</w:t>
      </w:r>
    </w:p>
    <w:p>
      <w:r>
        <w:t>Источник и превышение/нарушение подтверждаются [протоколы, акты, экспертиза, видео, свидетели]. Претензия вручена [дата], обращения направлены [куда], но нарушение продолжается. Убытки и вред здоровью заявляются лишь в подтверждённой части.</w:t>
      </w:r>
    </w:p>
    <w:p>
      <w:pPr>
        <w:pStyle w:val="Heading2"/>
      </w:pPr>
      <w:r>
        <w:t>МОТИВИРОВОЧНАЯ ЧАСТЬ</w:t>
      </w:r>
    </w:p>
    <w:p>
      <w:r>
        <w:t>Собственник или иной законный владелец вправе требовать устранения нарушения права, не связанного с лишением владения. Использование помещений должно соблюдать права соседей, санитарные требования и региональный режим тишины. Способ защиты должен быть конкретным и исполнимым; для вреда и убытков доказываются размер и причинная связь.</w:t>
      </w:r>
    </w:p>
    <w:p>
      <w:pPr>
        <w:pStyle w:val="Heading2"/>
      </w:pPr>
      <w:r>
        <w:t>РАСЧЁТ ТРЕБОВАНИЙ</w:t>
      </w:r>
    </w:p>
    <w:p>
      <w:r>
        <w:t>Расходы на обследование/защиту помещения [сумма] + подтверждённый ущерб [сумма] + иные убытки [сумма] = [итого] руб. Компенсация морального вреда [сумма] указывается отдельно при наличии основания.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в срок [срок] устранить подтверждённые источники шума и вибрации путём [конкретные мероприятия/достижение нормативных показателей].</w:t>
      </w:r>
    </w:p>
    <w:p>
      <w:pPr>
        <w:pStyle w:val="ListNumber"/>
        <w:numPr>
          <w:ilvl w:val="0"/>
          <w:numId w:val="10"/>
        </w:numPr>
      </w:pPr>
      <w:r>
        <w:t>Запретить эксплуатацию конкретного оборудования или деятельность в доказанной части до устранения нарушения — если менее строгая мера недостаточна.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убытки [сумма] руб. и компенсацию морального вреда [сумма] руб. — при наличии оснований.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p>
      <w:pPr>
        <w:pStyle w:val="ListNumber"/>
        <w:numPr>
          <w:ilvl w:val="0"/>
          <w:numId w:val="10"/>
        </w:numPr>
      </w:pPr>
      <w:r>
        <w:t>Назначить судебную акустическую/санитарно-гигиеническую экспертизу по отдельному ходатайству при споре о специальных фактах.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заявляйте абстрактное требование «не шуметь». Укажите источник, ответчика, допустимый способ контроля результата и, при необходимости, альтернативу на случай экспертного уточнения.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госпошлина/льгота;</w:t>
      </w:r>
    </w:p>
    <w:p>
      <w:pPr>
        <w:pStyle w:val="ListBullet"/>
        <w:numPr>
          <w:ilvl w:val="0"/>
          <w:numId w:val="11"/>
        </w:numPr>
      </w:pPr>
      <w:r>
        <w:t>документы на жильё или право пользования;</w:t>
      </w:r>
    </w:p>
    <w:p>
      <w:pPr>
        <w:pStyle w:val="ListBullet"/>
        <w:numPr>
          <w:ilvl w:val="0"/>
          <w:numId w:val="11"/>
        </w:numPr>
      </w:pPr>
      <w:r>
        <w:t>сведения о собственнике и эксплуатанте объекта;</w:t>
      </w:r>
    </w:p>
    <w:p>
      <w:pPr>
        <w:pStyle w:val="ListBullet"/>
        <w:numPr>
          <w:ilvl w:val="0"/>
          <w:numId w:val="11"/>
        </w:numPr>
      </w:pPr>
      <w:r>
        <w:t>претензия и вручение;</w:t>
      </w:r>
    </w:p>
    <w:p>
      <w:pPr>
        <w:pStyle w:val="ListBullet"/>
        <w:numPr>
          <w:ilvl w:val="0"/>
          <w:numId w:val="11"/>
        </w:numPr>
      </w:pPr>
      <w:r>
        <w:t>протоколы, акты и ответы органов;</w:t>
      </w:r>
    </w:p>
    <w:p>
      <w:pPr>
        <w:pStyle w:val="ListBullet"/>
        <w:numPr>
          <w:ilvl w:val="0"/>
          <w:numId w:val="11"/>
        </w:numPr>
      </w:pPr>
      <w:r>
        <w:t>журнал, фото и видео;</w:t>
      </w:r>
    </w:p>
    <w:p>
      <w:pPr>
        <w:pStyle w:val="ListBullet"/>
        <w:numPr>
          <w:ilvl w:val="0"/>
          <w:numId w:val="11"/>
        </w:numPr>
      </w:pPr>
      <w:r>
        <w:t>медицинские/платёжные документы — при наличии;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12, 15, 151, 304, 305, 1064, 1065 и 1099–1101 ГК РФ; статьи 17 и 30 ЖК РФ; Федеральный закон № 52-ФЗ; СанПиН 1.2.3685-21; региональный закон о тишине; статьи 28–30, 56–57, 79–80, 88, 94, 98, 100, 131–132 ГПК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38" w:right="1440" w:bottom="1238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№235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40"/>
    </w:pPr>
    <w:rPr>
      <w:rFonts w:ascii="Calibri" w:hAnsi="Calibri"/>
      <w:b/>
      <w:color w:val="8F2B24"/>
      <w:sz w:val="42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