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нарушений и прекращении вредных выбросов</w:t>
      </w:r>
    </w:p>
    <w:p>
      <w:pPr>
        <w:pStyle w:val="SmallNote"/>
      </w:pPr>
      <w:r>
        <w:t>Категория: Иски  •  Статья сайта: №241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Источник и ответчик установлены, нарушения или реальная опасность подтверждены измерениями, актами, заключениями либо совокупностью допустимых доказательств, а обращения не дали результата.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[организация/ИП/гражданин, адрес, ИНН/ОГРН либо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[надзорные органы, собственник объекта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[расчёт/льгота]</w:t>
      </w:r>
    </w:p>
    <w:p>
      <w:pPr>
        <w:pStyle w:val="Heading1"/>
      </w:pPr>
      <w:r>
        <w:t>ИСКОВОЕ ЗАЯВЛЕНИЕ ОБ УСТРАНЕНИИ НАРУШЕНИЙ И ПРЕДУПРЕЖДЕНИИ ПРИЧИНЕНИЯ ВРЕДА</w:t>
      </w:r>
    </w:p>
    <w:p>
      <w:pPr>
        <w:pStyle w:val="Heading2"/>
      </w:pPr>
      <w:r>
        <w:t>ОПИСАТЕЛЬНАЯ ЧАСТЬ</w:t>
      </w:r>
    </w:p>
    <w:p>
      <w:r>
        <w:t>Ответчик эксплуатирует [объект] по адресу [адрес]. С [период] деятельность сопровождается [выбросы/пыль/дым], воздействующими на жильё и участок истца.</w:t>
      </w:r>
    </w:p>
    <w:p>
      <w:r>
        <w:t>Нарушение и источник подтверждаются [протоколы измерений, акты надзора, экспертиза, документы объекта]. Истец обращался [куда, даты]; нарушение продолжается. Вред здоровью/имуществу заявляется только в подтверждённой части.</w:t>
      </w:r>
    </w:p>
    <w:p>
      <w:pPr>
        <w:pStyle w:val="Heading2"/>
      </w:pPr>
      <w:r>
        <w:t>МОТИВИРОВОЧНАЯ ЧАСТЬ</w:t>
      </w:r>
    </w:p>
    <w:p>
      <w:r>
        <w:t>Собственник вправе требовать устранения продолжающегося нарушения права. Опасность причинения вреда в будущем может быть основанием для запрета создающей её деятельности, однако способ защиты должен быть соразмерным и исполнимым. Для убытков и вреда доказываются размер и причинная связь.</w:t>
      </w:r>
    </w:p>
    <w:p>
      <w:pPr>
        <w:pStyle w:val="Heading2"/>
      </w:pPr>
      <w:r>
        <w:t>РАСЧЁТ ТРЕБОВАНИЙ</w:t>
      </w:r>
    </w:p>
    <w:p>
      <w:r>
        <w:t>Расходы на очистку/ремонт [сумма] + медицинские и иные необходимые расходы [сумма] + убытки [сумма] = [итого] руб. Компенсация морального вреда [сумма] указывается отдельно при наличии оснований.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в срок [срок] устранить подтверждённые нарушения путём [конкретные технические/организационные действия либо достижение нормативных показателей].</w:t>
      </w:r>
    </w:p>
    <w:p>
      <w:pPr>
        <w:pStyle w:val="ListNumber"/>
        <w:numPr>
          <w:ilvl w:val="0"/>
          <w:numId w:val="10"/>
        </w:numPr>
      </w:pPr>
      <w:r>
        <w:t>Запретить эксплуатацию конкретного источника/процесс в установленной судом части до устранения доказанной опасности — если менее строгая мера не обеспечивает защиту.</w:t>
      </w:r>
    </w:p>
    <w:p>
      <w:pPr>
        <w:pStyle w:val="ListNumber"/>
        <w:numPr>
          <w:ilvl w:val="0"/>
          <w:numId w:val="10"/>
        </w:numPr>
      </w:pPr>
      <w:r>
        <w:t>Взыскать подтверждённый имущественный вред [сумма] руб. и компенсацию морального вреда [сумма] руб. —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p>
      <w:pPr>
        <w:pStyle w:val="ListNumber"/>
        <w:numPr>
          <w:ilvl w:val="0"/>
          <w:numId w:val="10"/>
        </w:numPr>
      </w:pPr>
      <w:r>
        <w:t>Назначить экологическую/санитарно-гигиеническую экспертизу по отдельному ходатайству — если специальных данных недостаточно.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Формула «полностью закрыть предприятие» без доказанной опасности и соразмерности делает требование уязвимым. Укажите конкретный источник, нарушение и проверяемый результат исполнения.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документы на жильё/участок;</w:t>
      </w:r>
    </w:p>
    <w:p>
      <w:pPr>
        <w:pStyle w:val="ListBullet"/>
        <w:numPr>
          <w:ilvl w:val="0"/>
          <w:numId w:val="11"/>
        </w:numPr>
      </w:pPr>
      <w:r>
        <w:t>акты и ответы надзорных органов;</w:t>
      </w:r>
    </w:p>
    <w:p>
      <w:pPr>
        <w:pStyle w:val="ListBullet"/>
        <w:numPr>
          <w:ilvl w:val="0"/>
          <w:numId w:val="11"/>
        </w:numPr>
      </w:pPr>
      <w:r>
        <w:t>протоколы измерений и заключения;</w:t>
      </w:r>
    </w:p>
    <w:p>
      <w:pPr>
        <w:pStyle w:val="ListBullet"/>
        <w:numPr>
          <w:ilvl w:val="0"/>
          <w:numId w:val="11"/>
        </w:numPr>
      </w:pPr>
      <w:r>
        <w:t>журнал, фото и видео;</w:t>
      </w:r>
    </w:p>
    <w:p>
      <w:pPr>
        <w:pStyle w:val="ListBullet"/>
        <w:numPr>
          <w:ilvl w:val="0"/>
          <w:numId w:val="11"/>
        </w:numPr>
      </w:pPr>
      <w:r>
        <w:t>медицинские и платёжные документы;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15, 151, 304, 1064, 1065 и 1099–1101 ГК РФ; статьи 11 и 79 Федерального закона № 7-ФЗ; Федеральные законы № 52-ФЗ и № 96-ФЗ; статьи 28–29, 56–57, 79–80, 88,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