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[бывший работодатель/иное лицо]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идентификаторы/ИНН/ОГРН - если известны: [___]</w:t>
        <w:br/>
      </w:r>
      <w:r>
        <w:rPr>
          <w:sz w:val="18"/>
        </w:rPr>
        <w:br/>
      </w:r>
      <w:r>
        <w:rPr>
          <w:sz w:val="18"/>
        </w:rPr>
        <w:t>Госпошлина: по неимущественному требованию физлица - 3 000 руб. по подп. 3 п. 1 ст. 333.19 НК РФ; при добавлении имущественных требований рассчитать отдельно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признании авторства, пресечении нарушения права на имя, исправлении сведений и компенсации морального вреда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создал произведения [перечень] [даты, обстоятельства]. Ответчик использует их [где/как] и указывает автором [___] / не указывает Истца вопреки [обстоятельства] / распространяет сведения, фактически присваивающие авторство. Авторство Истца подтверждается [исходники, метаданные, публикации, переписка, свидетели].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Ст. 1265 ГК РФ закрепляет неотчуждаемое право авторства и право автора на имя. Даже если исключительное право на служебное произведение принадлежит работодателю, личное авторство остается за физическим лицом; ст. 1295 ГК РФ лишь позволяет работодателю указывать свое наименование при использовании в предусмотренных законом пределах. По ст. 1251 ГК РФ личные неимущественные права могут защищаться признанием права, восстановлением положения до нарушения, пресечением действий, компенсацией морального вреда и публикацией решения суда.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Признать Истца автором произведений [перечень].</w:t>
      </w:r>
    </w:p>
    <w:p>
      <w:pPr>
        <w:spacing w:after="24" w:before="0" w:line="230" w:lineRule="auto"/>
        <w:ind w:left="244" w:hanging="159"/>
      </w:pPr>
      <w:r>
        <w:t>2. Обязать Ответчика прекратить указание [лица] как автора и устранить ложное указание авторства в [сайты, каталоги, публикации] в технически и юридически возможной части.</w:t>
      </w:r>
    </w:p>
    <w:p>
      <w:pPr>
        <w:spacing w:after="24" w:before="0" w:line="230" w:lineRule="auto"/>
        <w:ind w:left="244" w:hanging="159"/>
      </w:pPr>
      <w:r>
        <w:t>3. Обязать разместить корректные сведения об авторстве/опубликовать решение суда о нарушении - в выбранном судом соразмерном способе.</w:t>
      </w:r>
    </w:p>
    <w:p>
      <w:pPr>
        <w:spacing w:after="24" w:before="0" w:line="230" w:lineRule="auto"/>
        <w:ind w:left="244" w:hanging="159"/>
      </w:pPr>
      <w:r>
        <w:t>4. Взыскать компенсацию морального вреда в размере [___] руб.</w:t>
      </w:r>
    </w:p>
    <w:p>
      <w:pPr>
        <w:spacing w:after="24" w:before="0" w:line="230" w:lineRule="auto"/>
        <w:ind w:left="244" w:hanging="159"/>
      </w:pPr>
      <w:r>
        <w:t>5. Взыскать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Исходные файлы и метаданные.</w:t>
      </w:r>
    </w:p>
    <w:p>
      <w:pPr>
        <w:spacing w:after="24" w:before="0" w:line="230" w:lineRule="auto"/>
        <w:ind w:left="244" w:hanging="159"/>
      </w:pPr>
      <w:r>
        <w:t>2. Скриншоты/нотариальный протокол осмотра - при наличии.</w:t>
      </w:r>
    </w:p>
    <w:p>
      <w:pPr>
        <w:spacing w:after="24" w:before="0" w:line="230" w:lineRule="auto"/>
        <w:ind w:left="244" w:hanging="159"/>
      </w:pPr>
      <w:r>
        <w:t>3. Трудовые документы и задания.</w:t>
      </w:r>
    </w:p>
    <w:p>
      <w:pPr>
        <w:spacing w:after="24" w:before="0" w:line="230" w:lineRule="auto"/>
        <w:ind w:left="244" w:hanging="159"/>
      </w:pPr>
      <w:r>
        <w:t>4. Переписка, акты передачи, ранние публикации.</w:t>
      </w:r>
    </w:p>
    <w:p>
      <w:pPr>
        <w:spacing w:after="24" w:before="0" w:line="230" w:lineRule="auto"/>
        <w:ind w:left="244" w:hanging="159"/>
      </w:pPr>
      <w:r>
        <w:t>5. Претензия и ответ.</w:t>
      </w:r>
    </w:p>
    <w:p>
      <w:pPr>
        <w:spacing w:after="24" w:before="0" w:line="230" w:lineRule="auto"/>
        <w:ind w:left="244" w:hanging="159"/>
      </w:pPr>
      <w:r>
        <w:t>6. Документы о направлении иска ответчику.</w:t>
      </w:r>
    </w:p>
    <w:p>
      <w:pPr>
        <w:spacing w:after="24" w:before="0" w:line="230" w:lineRule="auto"/>
        <w:ind w:left="244" w:hanging="159"/>
      </w:pPr>
      <w:r>
        <w:t>7. Документ об оплате госпошлины или льготе/отсрочке.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Если спор также касается исключительного права и незаконного коммерческого использования, соответствующие требования о пресечении и компенсации по ст. 1301 ГК РФ заявляются только после установления, кому принадлежит исключительное право. Не смешивайте личное авторство с исключительным правом.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