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продавцу автомобиля с рук о скрытых недостатках</w:t>
      </w:r>
    </w:p>
    <w:p>
      <w:pPr>
        <w:pStyle w:val="SmallNote"/>
      </w:pPr>
      <w:r>
        <w:t>Категория: Иски  •  Статья сайта: №250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Продавец отказал, недостаток и его существование до передачи подтверждены, выбран надлежащий способ защиты по статье 475 ГК РФ.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/ 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продавца, адрес, дата и место рождения — если известны,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• Госпошлина: [расчёт]</w:t>
      </w:r>
    </w:p>
    <w:p>
      <w:pPr>
        <w:pStyle w:val="Heading1"/>
      </w:pPr>
      <w:r>
        <w:t>ИСКОВОЕ ЗАЯВЛЕНИЕ О ТРЕБОВАНИЯХ В СВЯЗИ СО СКРЫТЫМИ НЕДОСТАТКАМИ АВТОМОБИЛЯ</w:t>
      </w:r>
    </w:p>
    <w:p>
      <w:pPr>
        <w:pStyle w:val="Heading2"/>
      </w:pPr>
      <w:r>
        <w:t>ОПИСАТЕЛЬНАЯ ЧАСТЬ</w:t>
      </w:r>
    </w:p>
    <w:p>
      <w:r>
        <w:t>По договору от [дата] ответчик передал автомобиль [VIN] за [сумма]. Объявление и заверения: [что сообщалось]. Дефекты при обычном осмотре [не могли / могли] быть обнаружены по причинам [описание].</w:t>
      </w:r>
    </w:p>
    <w:p>
      <w:r>
        <w:t>Недостатки выявлены [дата]. [Заключение] устанавливает [причина, момент возникновения, стоимость]. Претензия вручена [дата], ответ [суть] / ответа нет. Автомобиль сохранён для осмотра [где].</w:t>
      </w:r>
    </w:p>
    <w:p>
      <w:pPr>
        <w:pStyle w:val="Heading2"/>
      </w:pPr>
      <w:r>
        <w:t>МОТИВИРОВОЧНАЯ ЧАСТЬ</w:t>
      </w:r>
    </w:p>
    <w:p>
      <w:r>
        <w:t>Статьи 469 и 475–477 ГК РФ регулируют качество, способы защиты, распределение доказывания и сроки обнаружения недостатков. При существенном нарушении требований к качеству возможен отказ от договора; при иных недостатках применяются соразмерное уменьшение цены или расходы на устранение. Иск оформляется по статьям 131–132 ГПК РФ.</w:t>
      </w:r>
    </w:p>
    <w:p>
      <w:pPr>
        <w:pStyle w:val="Heading2"/>
      </w:pPr>
      <w:r>
        <w:t>РАСЧЁТ ТРЕБОВАНИЙ</w:t>
      </w:r>
    </w:p>
    <w:p>
      <w:r>
        <w:t>[Выбранное основное требование] [сумма] + диагностика/экспертиза [сумма] + эвакуация/хранение [сумма] + иные убытки [сумма] − выплаты [сумма] = [цена иска]. Для расторжения/отказа отдельно описать готовность возвратить автомобиль и состояние расчётов.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[Оставить одно:] взыскать уменьшение покупной цены [сумма] / расходы на устранение [сумма] / принять отказ от договора и взыскать уплаченную цену [сумма] после возврата автомобиля.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[сумма] руб.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p>
      <w:pPr>
        <w:pStyle w:val="ListNumber"/>
        <w:numPr>
          <w:ilvl w:val="0"/>
          <w:numId w:val="10"/>
        </w:numPr>
      </w:pPr>
      <w:r>
        <w:t>Назначить автотехническую экспертизу / истребовать документы — по отдельным ходатайствам.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До подачи проверьте актуальное регулирование срока обнаружения недостатков после Постановления КС РФ № 38-П. Если продавец систематически торгует автомобилями как предприниматель, квалификация и состав требований могут измениться.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 / льгота;</w:t>
      </w:r>
    </w:p>
    <w:p>
      <w:pPr>
        <w:pStyle w:val="ListBullet"/>
        <w:numPr>
          <w:ilvl w:val="0"/>
          <w:numId w:val="11"/>
        </w:numPr>
      </w:pPr>
      <w:r>
        <w:t>договор, акт, платёжные документы;</w:t>
      </w:r>
    </w:p>
    <w:p>
      <w:pPr>
        <w:pStyle w:val="ListBullet"/>
        <w:numPr>
          <w:ilvl w:val="0"/>
          <w:numId w:val="11"/>
        </w:numPr>
      </w:pPr>
      <w:r>
        <w:t>объявление и переписка;</w:t>
      </w:r>
    </w:p>
    <w:p>
      <w:pPr>
        <w:pStyle w:val="ListBullet"/>
        <w:numPr>
          <w:ilvl w:val="0"/>
          <w:numId w:val="11"/>
        </w:numPr>
      </w:pPr>
      <w:r>
        <w:t>претензия и вручение;</w:t>
      </w:r>
    </w:p>
    <w:p>
      <w:pPr>
        <w:pStyle w:val="ListBullet"/>
        <w:numPr>
          <w:ilvl w:val="0"/>
          <w:numId w:val="11"/>
        </w:numPr>
      </w:pPr>
      <w:r>
        <w:t>диагностика и заключение;</w:t>
      </w:r>
    </w:p>
    <w:p>
      <w:pPr>
        <w:pStyle w:val="ListBullet"/>
        <w:numPr>
          <w:ilvl w:val="0"/>
          <w:numId w:val="11"/>
        </w:numPr>
      </w:pPr>
      <w:r>
        <w:t>фото, видео, заказ-наряды;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450.1, 454, 469, 475–477 ГК РФ; статьи 23–24, 28–30, 56–57, 79–80, 88, 94, 98, 100, 131–132 ГПК РФ; статья 333.19 НК РФ; Постановление Конституционного Суда РФ от 09.06.2026 № 38-П.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