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продавцу квартиры о скрытых недостатках</w:t>
      </w:r>
    </w:p>
    <w:p>
      <w:pPr>
        <w:pStyle w:val="SmallNote"/>
      </w:pPr>
      <w:r>
        <w:t>Категория: Иски  •  Статья сайта: №236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Дефекты, их прежнее происхождение, стоимость и выбранный способ защиты подтверждены, продавец уведомлён, но спор не урегулирован.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Истец-покупатель: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Ответчик-продавец: [ФИО/организация, адрес, идентификатор или ИНН/ОГРН]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[банк/УК/страховщик — 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• Госпошлина: [расчёт/льгота]</w:t>
      </w:r>
    </w:p>
    <w:p>
      <w:pPr>
        <w:pStyle w:val="Heading1"/>
      </w:pPr>
      <w:r>
        <w:t>ИСКОВОЕ ЗАЯВЛЕНИЕ О ЗАЩИТЕ ПРАВ ПОКУПАТЕЛЯ ПРИ СКРЫТЫХ НЕДОСТАТКАХ КВАРТИРЫ</w:t>
      </w:r>
    </w:p>
    <w:p>
      <w:pPr>
        <w:pStyle w:val="Heading2"/>
      </w:pPr>
      <w:r>
        <w:t>ОПИСАТЕЛЬНАЯ ЧАСТЬ</w:t>
      </w:r>
    </w:p>
    <w:p>
      <w:r>
        <w:t>По договору от [дата] ответчик продал истцу квартиру [адрес, кадастровый номер] за [сумма]. Передача состоялась [дата], условия качества и заверения продавца: [цитаты].</w:t>
      </w:r>
    </w:p>
    <w:p>
      <w:r>
        <w:t>[Дата] обнаружены [дефекты]. Их наличие, скрытый характер, момент/причина возникновения и стоимость устранения подтверждаются [акты, экспертное заключение]. Ответчик приглашён на осмотр и получил претензию [даты], но [результат].</w:t>
      </w:r>
    </w:p>
    <w:p>
      <w:pPr>
        <w:pStyle w:val="Heading2"/>
      </w:pPr>
      <w:r>
        <w:t>МОТИВИРОВОЧНАЯ ЧАСТЬ</w:t>
      </w:r>
    </w:p>
    <w:p>
      <w:r>
        <w:t>При передаче недвижимости ненадлежащего качества применяются правила статьи 475 ГК РФ, кроме замены объекта. Ответственность, сроки обнаружения и извещение оцениваются по статьям 476, 477 и 483 ГК РФ с учётом Постановления КС РФ № 38-П от 09.06.2026. Закон о защите прав потребителей применяется лишь при наличии соответствующего субъектного состава, а не к любой продаже квартиры.</w:t>
      </w:r>
    </w:p>
    <w:p>
      <w:pPr>
        <w:pStyle w:val="Heading2"/>
      </w:pPr>
      <w:r>
        <w:t>РАСЧЁТ ТРЕБОВАНИЙ</w:t>
      </w:r>
    </w:p>
    <w:p>
      <w:r>
        <w:t>Уменьшение цены/стоимость устранения [сумма] + аварийные и диагностические расходы [сумма] + иные убытки [сумма] = [имущественный итог] руб. Для расторжения: цена к возврату [сумма], регистрационные и взаимные последствия указываются отдельно.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[Выбрать один основной способ:] уменьшить цену на [сумма] / взыскать расходы на устранение [сумма] / обязать устранить недостатки в срок [срок] / при существенном нарушении расторгнуть договор и возвратить исполненное.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 [сумма] руб.</w:t>
      </w:r>
    </w:p>
    <w:p>
      <w:pPr>
        <w:pStyle w:val="ListNumber"/>
        <w:numPr>
          <w:ilvl w:val="0"/>
          <w:numId w:val="10"/>
        </w:numPr>
      </w:pPr>
      <w:r>
        <w:t>Взыскать проценты или потребительские санкции только при наличии основания и отдельного расчёта.</w:t>
      </w:r>
    </w:p>
    <w:p>
      <w:pPr>
        <w:pStyle w:val="ListNumber"/>
        <w:numPr>
          <w:ilvl w:val="0"/>
          <w:numId w:val="10"/>
        </w:numPr>
      </w:pPr>
      <w:r>
        <w:t>Назначить строительно-техническую экспертизу по отдельному ходатайству — если специальные вопросы спорны.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Дефект общего имущества может потребовать участия УК и разграничения причин, ремонта и личных расходов покупателя.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госпошлина/льгота;</w:t>
      </w:r>
    </w:p>
    <w:p>
      <w:pPr>
        <w:pStyle w:val="ListBullet"/>
        <w:numPr>
          <w:ilvl w:val="0"/>
          <w:numId w:val="11"/>
        </w:numPr>
      </w:pPr>
      <w:r>
        <w:t>договор, акт, выписка ЕГРН и платежи;</w:t>
      </w:r>
    </w:p>
    <w:p>
      <w:pPr>
        <w:pStyle w:val="ListBullet"/>
        <w:numPr>
          <w:ilvl w:val="0"/>
          <w:numId w:val="11"/>
        </w:numPr>
      </w:pPr>
      <w:r>
        <w:t>акты, фото, видео и заявки УК;</w:t>
      </w:r>
    </w:p>
    <w:p>
      <w:pPr>
        <w:pStyle w:val="ListBullet"/>
        <w:numPr>
          <w:ilvl w:val="0"/>
          <w:numId w:val="11"/>
        </w:numPr>
      </w:pPr>
      <w:r>
        <w:t>заключение и смета;</w:t>
      </w:r>
    </w:p>
    <w:p>
      <w:pPr>
        <w:pStyle w:val="ListBullet"/>
        <w:numPr>
          <w:ilvl w:val="0"/>
          <w:numId w:val="11"/>
        </w:numPr>
      </w:pPr>
      <w:r>
        <w:t>претензия, приглашение на осмотр и вручение;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кредитные/страховые документы — при наличии;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450–453, 469, 475–477, 483, 556 и 557 ГК РФ; Постановление Конституционного Суда РФ от 09.06.2026 № 38-П; статьи 28–30, 56–57, 79–80, 88, 91, 94, 98, 100, 131–132 ГПК РФ; статья 333.19 НК РФ; Закон РФ № 2300-1 — только при его применимости.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