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взыскании расходов на содержание наследственной квартиры с других наследников</w:t>
      </w:r>
    </w:p>
    <w:p>
      <w:pPr>
        <w:spacing w:after="40"/>
      </w:pPr>
      <w:r>
        <w:rPr>
          <w:b/>
          <w:color w:val="676767"/>
        </w:rPr>
        <w:t>Категория: Иски  •  Статья сайта: №465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 после отказа совладельцев компенсировать соразмерную долю необходимых и подтверждённых расходов.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судья / районный суд по цене и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Ответчики: [каждый наследник, адрес]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</w:t>
      </w:r>
    </w:p>
    <w:p>
      <w:pPr>
        <w:pStyle w:val="Heading1"/>
      </w:pPr>
      <w:r>
        <w:t>ИСКОВОЕ ЗАЯВЛЕНИЕ О ВЗЫСКАНИИ НЕОБХОДИМЫХ РАСХОДОВ НА ОБЩЕЕ ИМУЩЕСТВО</w:t>
      </w:r>
    </w:p>
    <w:p>
      <w:r>
        <w:t>После смерти [ФИО] стороны приняли наследство и приобрели квартиру [адрес] в долях: [доли]. В период [период] истец оплатил расходы на содержание и сохранение квартиры в сумме [сумма] руб.</w:t>
      </w:r>
    </w:p>
    <w:p>
      <w:r>
        <w:t>Необходимость и размер расходов подтверждаются [квитанции, акты, сметы]. По каждому ответчику рассчитана сумма соразмерно доле. Потребительские платежи, относящиеся только к проживанию истца, и несогласованные улучшения исключены / обоснованы отдельно.</w:t>
      </w:r>
    </w:p>
    <w:p>
      <w:r>
        <w:t>Письменное требование от [дата] не исполнено: [ответ].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Взыскать с [ФИО ответчика 1] [сумма] руб., с [ФИО ответчика 2] [сумма] руб. расходов на содержание общего имущества.</w:t>
      </w:r>
    </w:p>
    <w:p>
      <w:pPr>
        <w:pStyle w:val="ListNumber"/>
        <w:numPr>
          <w:ilvl w:val="0"/>
          <w:numId w:val="10"/>
        </w:numPr>
      </w:pPr>
      <w:r>
        <w:t>Взыскать проценты по статье 395 ГК РФ с [дата наступления просрочки] по день исполнения — по расчёту.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заявляйте всю сумму солидарно без правового основания: в обычном споре о текущем содержании доля каждого ответчика рассчитывается отдельно.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документы о принятии наследства и долях;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расчёт по каждому ответчику;</w:t>
      </w:r>
    </w:p>
    <w:p>
      <w:pPr>
        <w:pStyle w:val="ListBullet"/>
        <w:numPr>
          <w:ilvl w:val="0"/>
          <w:numId w:val="11"/>
        </w:numPr>
      </w:pPr>
      <w:r>
        <w:t>платёжные документы;</w:t>
      </w:r>
    </w:p>
    <w:p>
      <w:pPr>
        <w:pStyle w:val="ListBullet"/>
        <w:numPr>
          <w:ilvl w:val="0"/>
          <w:numId w:val="11"/>
        </w:numPr>
      </w:pPr>
      <w:r>
        <w:t>акты и сметы;</w:t>
      </w:r>
    </w:p>
    <w:p>
      <w:pPr>
        <w:pStyle w:val="ListBullet"/>
        <w:numPr>
          <w:ilvl w:val="0"/>
          <w:numId w:val="11"/>
        </w:numPr>
      </w:pPr>
      <w:r>
        <w:t>требования и подтверждения их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196, 200, 249, 395, 1152 и 1164 ГК РФ; статьи 23–24, 28–29,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