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продавцу квартиры из-за скрытых прав третьих лиц</w:t>
      </w:r>
    </w:p>
    <w:p>
      <w:pPr>
        <w:pStyle w:val="SmallNote"/>
      </w:pPr>
      <w:r>
        <w:t>Категория: Иски  •  Статья сайта: №237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Право третьего лица существовало до передачи квартиры, покупатель не соглашался на него, претензия продавцу не исполнена, а выбранный способ защиты и последствия сделки рассчитаны.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суд; подсудность проверить по характеру требований и месту квартиры]</w:t>
      </w:r>
    </w:p>
    <w:p>
      <w:pPr>
        <w:spacing w:after="40"/>
        <w:jc w:val="left"/>
      </w:pPr>
      <w:r>
        <w:rPr>
          <w:color w:val="14213D"/>
          <w:sz w:val="20"/>
        </w:rPr>
        <w:t>Истец-покупатель: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Ответчик-продавец: [данные]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[лицо, сохраняющее право; Росреестр; получатель ренты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• Госпошлина: [расчёт/льгота]</w:t>
      </w:r>
    </w:p>
    <w:p>
      <w:pPr>
        <w:pStyle w:val="Heading1"/>
      </w:pPr>
      <w:r>
        <w:t>ИСКОВОЕ ЗАЯВЛЕНИЕ О ЗАЩИТЕ ПРАВ ПОКУПАТЕЛЯ ПРИ СКРЫТЫХ ПРАВАХ ТРЕТЬИХ ЛИЦ</w:t>
      </w:r>
    </w:p>
    <w:p>
      <w:pPr>
        <w:pStyle w:val="Heading2"/>
      </w:pPr>
      <w:r>
        <w:t>ОПИСАТЕЛЬНАЯ ЧАСТЬ</w:t>
      </w:r>
    </w:p>
    <w:p>
      <w:r>
        <w:t>Истец приобрёл квартиру [адрес] по договору от [дата] за [сумма]. Договор содержал сведения [цитата] о жильцах и обременениях. Перед сделкой ответчик сообщил [что].</w:t>
      </w:r>
    </w:p>
    <w:p>
      <w:r>
        <w:t>После регистрации выявлено право [ФИО] на основании [отказ от приватизации/рента/найм/судебный акт]. Оно возникло до сделки и не было согласовано с истцом. Претензия о [требование] вручена [дата], ответ [содержание].</w:t>
      </w:r>
    </w:p>
    <w:p>
      <w:pPr>
        <w:pStyle w:val="Heading2"/>
      </w:pPr>
      <w:r>
        <w:t>МОТИВИРОВОЧНАЯ ЧАСТЬ</w:t>
      </w:r>
    </w:p>
    <w:p>
      <w:r>
        <w:t>Передача имущества с неоговорёнными правами третьих лиц даёт покупателю предусмотренные законом способы защиты. Для жилого помещения сведения о сохраняющих право лицах имеют специальное значение. Расторжение требует существенности нарушения и соблюдения предусмотренного порядка; право третьего лица оценивается отдельно и не прекращается автоматически решением спора с продавцом.</w:t>
      </w:r>
    </w:p>
    <w:p>
      <w:pPr>
        <w:pStyle w:val="Heading2"/>
      </w:pPr>
      <w:r>
        <w:t>РАСЧЁТ ТРЕБОВАНИЙ</w:t>
      </w:r>
    </w:p>
    <w:p>
      <w:r>
        <w:t>Цена квартиры [сумма] + расходы по сделке/кредиту/переезду [сумма] + иные причинные убытки [сумма] − фактически возвращённое [сумма] = [итого] руб. Для уменьшения цены приложить оценку разницы стоимости.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[Выбрать одну ветку:] расторгнуть договор купли-продажи от [дата], применить последствия расторжения — обязать стороны возвратить полученное и взыскать с ответчика [сумма] / уменьшить покупную цену на [сумма] руб.</w:t>
      </w:r>
    </w:p>
    <w:p>
      <w:pPr>
        <w:pStyle w:val="ListNumber"/>
        <w:numPr>
          <w:ilvl w:val="0"/>
          <w:numId w:val="10"/>
        </w:numPr>
      </w:pPr>
      <w:r>
        <w:t>Взыскать причинно связанные убытки [сумма] руб. — если доказаны.</w:t>
      </w:r>
    </w:p>
    <w:p>
      <w:pPr>
        <w:pStyle w:val="ListNumber"/>
        <w:numPr>
          <w:ilvl w:val="0"/>
          <w:numId w:val="10"/>
        </w:numPr>
      </w:pPr>
      <w:r>
        <w:t>Определить необходимые регистрационные последствия решения и указать данные объекта [кадастровый номер] — для ветки расторжения.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соединяйте без анализа взаимоисключающие требования о полном расторжении и уменьшении цены. Банк-кредитор, получатель ренты и сохраняющий право жилец могут требовать участия в деле.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госпошлина/льгота;</w:t>
      </w:r>
    </w:p>
    <w:p>
      <w:pPr>
        <w:pStyle w:val="ListBullet"/>
        <w:numPr>
          <w:ilvl w:val="0"/>
          <w:numId w:val="11"/>
        </w:numPr>
      </w:pPr>
      <w:r>
        <w:t>договор, акт и платёжные документы;</w:t>
      </w:r>
    </w:p>
    <w:p>
      <w:pPr>
        <w:pStyle w:val="ListBullet"/>
        <w:numPr>
          <w:ilvl w:val="0"/>
          <w:numId w:val="11"/>
        </w:numPr>
      </w:pPr>
      <w:r>
        <w:t>выписки ЕГРН и регистрационного учёта;</w:t>
      </w:r>
    </w:p>
    <w:p>
      <w:pPr>
        <w:pStyle w:val="ListBullet"/>
        <w:numPr>
          <w:ilvl w:val="0"/>
          <w:numId w:val="11"/>
        </w:numPr>
      </w:pPr>
      <w:r>
        <w:t>документы о праве третьего лица;</w:t>
      </w:r>
    </w:p>
    <w:p>
      <w:pPr>
        <w:pStyle w:val="ListBullet"/>
        <w:numPr>
          <w:ilvl w:val="0"/>
          <w:numId w:val="11"/>
        </w:numPr>
      </w:pPr>
      <w:r>
        <w:t>претензия, вручение и ответ;</w:t>
      </w:r>
    </w:p>
    <w:p>
      <w:pPr>
        <w:pStyle w:val="ListBullet"/>
        <w:numPr>
          <w:ilvl w:val="0"/>
          <w:numId w:val="11"/>
        </w:numPr>
      </w:pPr>
      <w:r>
        <w:t>оценка/расчёт;</w:t>
      </w:r>
    </w:p>
    <w:p>
      <w:pPr>
        <w:pStyle w:val="ListBullet"/>
        <w:numPr>
          <w:ilvl w:val="0"/>
          <w:numId w:val="11"/>
        </w:numPr>
      </w:pPr>
      <w:r>
        <w:t>кредитные документы — при наличии;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450, 452, 453, 460, 461, 558 и 586 ГК РФ; статья 19 Федерального закона № 189-ФЗ; статьи 28–30, 56–57, 88, 91, 94, 98, 100,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