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определении порядка и долей оплаты жилья и коммуналки («раздел лицевых счетов»)</w:t>
      </w:r>
    </w:p>
    <w:p>
      <w:r>
        <w:t xml:space="preserve">Квартира по адресу: [адрес] принадлежит мне и Ответчику на праве долевой собственности (или: мы — наниматели по соцнайму).</w:t>
      </w:r>
    </w:p>
    <w:p>
      <w:r>
        <w:t xml:space="preserve">Мы не ведём общее хозяйство, бюджет раздельный.</w:t>
      </w:r>
    </w:p>
    <w:p>
      <w:r>
        <w:t xml:space="preserve">Единый платёжный документ выставляется на моё имя, Ответчик свою часть не оплачивает, из-за чего копится долг.</w:t>
      </w:r>
    </w:p>
    <w:p>
      <w:r>
        <w:t xml:space="preserve">Соглашение о порядке оплаты не достигнуто.</w:t>
      </w:r>
    </w:p>
    <w:p>
      <w:r>
        <w:t xml:space="preserve">Прошу определить порядок и доли участия в расходах на содержание жилья и коммунальные услуги.</w:t>
      </w:r>
    </w:p>
    <w:p/>
    <w:p>
      <w:r>
        <w:t xml:space="preserve">На основании изложенного, руководствуясь ст. 249 ГК РФ, ст. 155 ЖК РФ, ст. 69 ЖК РФ (для соцнайма),</w:t>
      </w:r>
    </w:p>
    <w:p>
      <w:r>
        <w:rPr>
          <w:b/>
          <w:bCs/>
        </w:rPr>
        <w:t xml:space="preserve">ПРОШУ:</w:t>
      </w:r>
    </w:p>
    <w:p>
      <w:r>
        <w:t xml:space="preserve">1. Определить доли участия в оплате жилья и коммунальных услуг: Истец — [доля], Ответчик — [доля].</w:t>
      </w:r>
    </w:p>
    <w:p>
      <w:r>
        <w:t xml:space="preserve">2. Обязать УК (расчётный центр) выдавать Истцу отдельный платёжный документ на мою долю.</w:t>
      </w:r>
    </w:p>
    <w:p/>
    <w:p>
      <w:r>
        <w:t xml:space="preserve">Приложения:</w:t>
      </w:r>
    </w:p>
    <w:p>
      <w:r>
        <w:t xml:space="preserve">1. выписки ЕГРН / договор соцнайма</w:t>
      </w:r>
    </w:p>
    <w:p>
      <w:r>
        <w:t xml:space="preserve">2. платёжные документы</w:t>
      </w:r>
    </w:p>
    <w:p>
      <w:r>
        <w:t xml:space="preserve">3. доказательства раздельного бюджета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«Раздел лицевых счетов» в старом смысле невозможен — суд определяет порядок и доли оплаты, а УК выдаёт отдельные платёжки.</w:t>
      </w:r>
    </w:p>
    <w:p>
      <w:r>
        <w:rPr>
          <w:i/>
          <w:iCs/>
          <w:sz w:val="18"/>
          <w:szCs w:val="18"/>
        </w:rPr>
        <w:t xml:space="preserve">• Для собственников — ст. 249 ГК РФ, для нанимателей — ст. 69 ЖК РФ.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[isk-pereraschet-kommunalnye]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2026-08-17T06:35:48.306Z</dcterms:created>
  <dcterms:modified xsi:type="dcterms:W3CDTF">2026-08-17T06:35:48.306Z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