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разделе наследственного имущества между наследниками</w:t>
      </w:r>
    </w:p>
    <w:p>
      <w:r>
        <w:t xml:space="preserve">После смерти наследодателя [ФИО] («___» ________ 20__ г.) мы с Ответчиком [ФИО] приняли наследство и получили свидетельство о праве на наследство.</w:t>
      </w:r>
    </w:p>
    <w:p>
      <w:r>
        <w:t xml:space="preserve">В состав наследства вошло имущество: [квартира, машина, земельный участок и т.д.], которое находится в нашей общей долевой собственности.</w:t>
      </w:r>
    </w:p>
    <w:p>
      <w:r>
        <w:t xml:space="preserve">Соглашение о разделе имущества между нами не достигнуто.</w:t>
      </w:r>
    </w:p>
    <w:p>
      <w:r>
        <w:t xml:space="preserve">Я предлагаю следующий раздел: [описание варианта раздела].</w:t>
      </w:r>
    </w:p>
    <w:p>
      <w:r>
        <w:t xml:space="preserve">Моя доля в праве собственности: [размер]. Доля Ответчика: [размер].</w:t>
      </w:r>
    </w:p>
    <w:p/>
    <w:p>
      <w:r>
        <w:t xml:space="preserve">На основании изложенного, руководствуясь ст. 1164–1168 ГК РФ, ст. 252 ГК РФ,</w:t>
      </w:r>
    </w:p>
    <w:p>
      <w:r>
        <w:rPr>
          <w:b/>
          <w:bCs/>
        </w:rPr>
        <w:t xml:space="preserve">ПРОШУ:</w:t>
      </w:r>
    </w:p>
    <w:p>
      <w:r>
        <w:t xml:space="preserve">1. Произвести раздел наследственного имущества: [перечень] между Истцом и Ответчиком следующим образом: [описание].</w:t>
      </w:r>
    </w:p>
    <w:p>
      <w:r>
        <w:t xml:space="preserve">2. Признать за мной право собственности на [конкретное имущество].</w:t>
      </w:r>
    </w:p>
    <w:p>
      <w:r>
        <w:t xml:space="preserve">3. Взыскать компенсацию за несоразмерность выделяемой доли — [сумма] руб. (если применимо).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свидетельство о смерти</w:t>
      </w:r>
    </w:p>
    <w:p>
      <w:r>
        <w:t xml:space="preserve">2. свидетельства о праве на наследство обеих сторон</w:t>
      </w:r>
    </w:p>
    <w:p>
      <w:r>
        <w:t xml:space="preserve">3. документы на имущество (выписки ЕГРН, ПТС)</w:t>
      </w:r>
    </w:p>
    <w:p>
      <w:r>
        <w:t xml:space="preserve">4. оценка рыночной стоимости имущества</w:t>
      </w:r>
    </w:p>
    <w:p>
      <w:r>
        <w:t xml:space="preserve">5. варианты раздела (заключение специалиста)</w:t>
      </w:r>
    </w:p>
    <w:p>
      <w:r>
        <w:t xml:space="preserve">6. квитанция госпошлины</w:t>
      </w:r>
    </w:p>
    <w:p>
      <w:r>
        <w:t xml:space="preserve">7.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Наследственное имущество делится по соглашению или через суд (ст. 1164 ГК РФ).</w:t>
      </w:r>
    </w:p>
    <w:p>
      <w:r>
        <w:rPr>
          <w:i/>
          <w:iCs/>
          <w:sz w:val="18"/>
          <w:szCs w:val="18"/>
        </w:rPr>
        <w:t xml:space="preserve">• Суд учитывает преимущественное право наследника, пользовавшегося вещью до открытия наследства (ст. 1168 ГК РФ).</w:t>
      </w:r>
    </w:p>
    <w:p>
      <w:r>
        <w:rPr>
          <w:i/>
          <w:iCs/>
          <w:sz w:val="18"/>
          <w:szCs w:val="18"/>
        </w:rPr>
        <w:t xml:space="preserve">• Неделимая вещь (квартира, машина) присуждается одному с выплатой компенсации другому (ст. 1170 ГК РФ).</w:t>
      </w:r>
    </w:p>
    <w:p>
      <w:r>
        <w:rPr>
          <w:i/>
          <w:iCs/>
          <w:sz w:val="18"/>
          <w:szCs w:val="18"/>
        </w:rPr>
        <w:t xml:space="preserve">• Подсудность: ИСКЛЮЧИТЕЛЬНАЯ — по месту нахождения недвижимости; для движимого — по месту жительства Ответчика.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[isk-razdel-imushchestva-suprugov]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2026-08-17T06:35:41.300Z</dcterms:created>
  <dcterms:modified xsi:type="dcterms:W3CDTF">2026-08-17T06:35:41.300Z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