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расторжении брака при несогласии супруга или неизвестном месте жительства</w:t>
      </w:r>
    </w:p>
    <w:p>
      <w:pPr>
        <w:spacing w:after="40"/>
      </w:pPr>
      <w:r>
        <w:rPr>
          <w:b/>
          <w:color w:val="676767"/>
        </w:rPr>
        <w:t>Категория: Иски  •  Статья сайта: №332</w:t>
      </w:r>
    </w:p>
    <w:p>
      <w:pPr>
        <w:spacing w:after="160"/>
      </w:pPr>
      <w:r>
        <w:rPr>
          <w:b/>
          <w:color w:val="676767"/>
          <w:sz w:val="19"/>
        </w:rPr>
        <w:t>Структура: ИСК ПО ГПК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 для развода без самостоятельного спора о детях и имуществе. Неизвестный адрес ответчика позволяет указать последнее известное место жительства или место имущества; это не означает автоматического признания безвестно отсутствующим.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/ мировому судье по действующей родовой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идентификатор,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[ФИО, дата и место рождения — если известны, последнее известное место жительства, идентификатор — если известен]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[сумма и реквизиты на дату подачи]</w:t>
      </w:r>
    </w:p>
    <w:p>
      <w:pPr>
        <w:pStyle w:val="Heading1"/>
      </w:pPr>
      <w:r>
        <w:t>ИСКОВОЕ ЗАЯВЛЕНИЕ О РАСТОРЖЕНИИ БРАКА</w:t>
      </w:r>
    </w:p>
    <w:p>
      <w:pPr>
        <w:pStyle w:val="Heading2"/>
      </w:pPr>
      <w:r>
        <w:t>ОПИСАТЕЛЬНАЯ ЧАСТЬ</w:t>
      </w:r>
    </w:p>
    <w:p>
      <w:r>
        <w:t>Брак зарегистрирован [дата] органом ЗАГС [название], запись № [номер]. Совместная жизнь прекращена [дата], общее хозяйство не ведётся. Сохранение семьи невозможно по причине [кратко, без излишних интимных подробностей].</w:t>
      </w:r>
    </w:p>
    <w:p>
      <w:r>
        <w:t>Ответчик [не согласен на развод / уклоняется от обращения в ЗАГС / место жительства неизвестно с дата]. Последний известный адрес / имущество ответчика: [данные]. Общие несовершеннолетние дети [нет / есть, сведения]. Самостоятельного спора о месте жительства и воспитании детей в этом иске [нет].</w:t>
      </w:r>
    </w:p>
    <w:p>
      <w:pPr>
        <w:pStyle w:val="Heading2"/>
      </w:pPr>
      <w:r>
        <w:t>МОТИВИРОВОЧНАЯ ЧАСТЬ</w:t>
      </w:r>
    </w:p>
    <w:p>
      <w:r>
        <w:t>При отсутствии согласия второго супруга брак расторгается судом, если дальнейшая совместная жизнь и сохранение семьи невозможны. Суд вправе дать срок для примирения до трёх месяцев, но при сохранении требования истца после безрезультатного примирения брак расторгается. Иск к лицу с неизвестным местом жительства предъявляется по правилам альтернативной подсудности.</w:t>
      </w:r>
    </w:p>
    <w:p>
      <w:pPr>
        <w:pStyle w:val="Heading2"/>
      </w:pPr>
      <w:r>
        <w:t>ПРОСИТЕЛЬНАЯ ЧАСТЬ</w:t>
      </w:r>
    </w:p>
    <w:p>
      <w:r>
        <w:t>На основании статей 21–23 СК РФ и статей 29, 50, 119, 131–132 ГПК РФ ПРОШУ:</w:t>
      </w:r>
    </w:p>
    <w:p>
      <w:pPr>
        <w:pStyle w:val="ListNumber"/>
        <w:numPr>
          <w:ilvl w:val="0"/>
          <w:numId w:val="10"/>
        </w:numPr>
      </w:pPr>
      <w:r>
        <w:t>Расторгнуть брак между [ФИО] и [ФИО], зарегистрированный [дата], запись № [номер].</w:t>
      </w:r>
    </w:p>
    <w:p>
      <w:pPr>
        <w:pStyle w:val="ListNumber"/>
        <w:numPr>
          <w:ilvl w:val="0"/>
          <w:numId w:val="10"/>
        </w:numPr>
      </w:pPr>
      <w:r>
        <w:t>Запросить сведения о регистрации / месте нахождения ответчика и направить извещения по выявленным и последнему известному адресам.</w:t>
      </w:r>
    </w:p>
    <w:p>
      <w:pPr>
        <w:pStyle w:val="ListNumber"/>
        <w:numPr>
          <w:ilvl w:val="0"/>
          <w:numId w:val="10"/>
        </w:numPr>
      </w:pPr>
      <w:r>
        <w:t>При неизвестности места жительства ответчика решить вопрос об обеспечении его процессуальных прав в порядке статьи 50 ГПК РФ.</w:t>
      </w:r>
    </w:p>
    <w:p>
      <w:pPr>
        <w:pStyle w:val="ListNumber"/>
        <w:numPr>
          <w:ilvl w:val="0"/>
          <w:numId w:val="10"/>
        </w:numPr>
      </w:pPr>
      <w:r>
        <w:t>Направить выписку из вступившего в силу решения в орган ЗАГС.</w:t>
      </w:r>
    </w:p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подтверждение направления иска по последнему известному адресу;</w:t>
      </w:r>
    </w:p>
    <w:p>
      <w:pPr>
        <w:pStyle w:val="ListBullet"/>
        <w:numPr>
          <w:ilvl w:val="0"/>
          <w:numId w:val="11"/>
        </w:numPr>
      </w:pPr>
      <w:r>
        <w:t>свидетельство / сведения о заключении брака;</w:t>
      </w:r>
    </w:p>
    <w:p>
      <w:pPr>
        <w:pStyle w:val="ListBullet"/>
        <w:numPr>
          <w:ilvl w:val="0"/>
          <w:numId w:val="11"/>
        </w:numPr>
      </w:pPr>
      <w:r>
        <w:t>свидетельства о рождении детей — при наличии;</w:t>
      </w:r>
    </w:p>
    <w:p>
      <w:pPr>
        <w:pStyle w:val="ListBullet"/>
        <w:numPr>
          <w:ilvl w:val="0"/>
          <w:numId w:val="11"/>
        </w:numPr>
      </w:pPr>
      <w:r>
        <w:t>доказательства последнего адреса или имущества ответчика;</w:t>
      </w:r>
    </w:p>
    <w:p>
      <w:pPr>
        <w:pStyle w:val="ListBullet"/>
        <w:numPr>
          <w:ilvl w:val="0"/>
          <w:numId w:val="11"/>
        </w:numPr>
      </w:pPr>
      <w:r>
        <w:t>документы о месте жительства ребёнка / состоянии здоровья — если подсудность выбрана по месту истца;</w:t>
      </w:r>
    </w:p>
    <w:p>
      <w:pPr>
        <w:pStyle w:val="ListBullet"/>
        <w:numPr>
          <w:ilvl w:val="0"/>
          <w:numId w:val="11"/>
        </w:numPr>
      </w:pPr>
      <w:r>
        <w:t>документ об уплате госпошлины или ходатайство;</w:t>
      </w:r>
    </w:p>
    <w:p>
      <w:pPr>
        <w:pStyle w:val="ListBullet"/>
        <w:numPr>
          <w:ilvl w:val="0"/>
          <w:numId w:val="11"/>
        </w:numPr>
      </w:pPr>
      <w:r>
        <w:t>иные документы по обязательным реквизитам сторон.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21–23 СК РФ; статьи 23, 24, 28, 29, 50, 119, 131–132 ГПК РФ; статья 333.19 НК РФ в редакции на дату подачи.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