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расторжении брака (с рассмотрением дела в отсутствие Истца)</w:t>
      </w:r>
    </w:p>
    <w:p>
      <w:r>
        <w:t xml:space="preserve">«___» ________ 20__ г. между мной и Ответчиком зарегистрирован брак. От брака имеются дети: [ФИО] (или: детей нет).</w:t>
      </w:r>
    </w:p>
    <w:p>
      <w:r>
        <w:t xml:space="preserve">Совместная жизнь прекращена, сохранение семьи невозможно.</w:t>
      </w:r>
    </w:p>
    <w:p>
      <w:r>
        <w:t xml:space="preserve">Я не имею возможности являться в судебные заседания: [проживаю в другом регионе / командировки / состояние здоровья].</w:t>
      </w:r>
    </w:p>
    <w:p>
      <w:r>
        <w:t xml:space="preserve">На основании ст. 167 ГПК РФ прошу рассмотреть дело в моё отсутствие. На расторжении брака настаиваю. Срок на примирение не нужен.</w:t>
      </w:r>
    </w:p>
    <w:p/>
    <w:p>
      <w:r>
        <w:t xml:space="preserve">На основании изложенного, руководствуясь ст. 21, 22, 23 СК РФ, ст. 167 ГПК РФ,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брак между Истцом и Ответчиком.</w:t>
      </w:r>
    </w:p>
    <w:p>
      <w:r>
        <w:t xml:space="preserve">2. Рассмотреть дело в отсутствие Истца (ст. 167 ГПК РФ).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браке</w:t>
      </w:r>
    </w:p>
    <w:p>
      <w:r>
        <w:t xml:space="preserve">2. свидетельства о рождении детей (при наличии)</w:t>
      </w:r>
    </w:p>
    <w:p>
      <w:r>
        <w:t xml:space="preserve">3. ходатайство о рассмотрении в отсутствие (можно в тексте иска)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Ходатайство о рассмотрении в отсутствие — прямо в иске или отдельным документом (ст. 167 ГПК РФ).</w:t>
      </w:r>
    </w:p>
    <w:p>
      <w:r>
        <w:rPr>
          <w:i/>
          <w:iCs/>
          <w:sz w:val="18"/>
          <w:szCs w:val="18"/>
        </w:rPr>
        <w:t xml:space="preserve">• Если оба согласны и нет спора о детях — суд расторгает без примирения (ст. 23 СК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[isk-razvod-spor-deti]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2026-08-17T06:35:43.716Z</dcterms:created>
  <dcterms:modified xsi:type="dcterms:W3CDTF">2026-08-17T06:35:43.716Z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