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государственной регистрации перехода права собственности на квартиру после смерти продавца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№476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Договор действителен и исполнен, но регистрация невозможна из-за смерти продавца. Ответчиками обычно являются принявшие наследство правопреемники; при их отсутствии состав участников определяется по правилам о выморочном имуществе.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нахождения квартиры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Ответчики: [наследники / публичное образование — после проверки]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Управление Росреестра по [субъект РФ]</w:t>
      </w:r>
    </w:p>
    <w:p>
      <w:pPr>
        <w:pStyle w:val="Heading1"/>
      </w:pPr>
      <w:r>
        <w:t>ИСКОВОЕ ЗАЯВЛЕНИЕ О ГОСУДАРСТВЕННОЙ РЕГИСТРАЦИИ ПЕРЕХОДА ПРАВА СОБСТВЕННОСТИ</w:t>
      </w:r>
    </w:p>
    <w:p>
      <w:r>
        <w:t>[Дата] истец и [ФИО продавца] заключили договор купли-продажи квартиры [адрес, кадастровый номер]. Истец уплатил цену [сумма] руб., продавец передал квартиру по акту / обязанность передачи подтверждается [доказательства].</w:t>
      </w:r>
    </w:p>
    <w:p>
      <w:r>
        <w:t>До завершения регистрации продавец умер [дата]. Наследственное дело № [номер] ведёт нотариус [ФИО]. Наследство приняли [лица] / наследники не установлены. Росреестр [приостановил/отказал] по причине [причина].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Произвести государственную регистрацию перехода права собственности на квартиру [описание] от [ФИО продавца] к истцу на основании договора от [дата].</w:t>
      </w:r>
    </w:p>
    <w:p>
      <w:pPr>
        <w:pStyle w:val="ListNumber"/>
        <w:numPr>
          <w:ilvl w:val="0"/>
          <w:numId w:val="10"/>
        </w:numPr>
      </w:pPr>
      <w:r>
        <w:t>При необходимости признать исполненной обязанность продавца по передаче квартиры, если это подтверждается актом и фактическими обстоятельствами.</w:t>
      </w:r>
    </w:p>
    <w:p>
      <w:pPr>
        <w:pStyle w:val="ListNumber"/>
        <w:numPr>
          <w:ilvl w:val="0"/>
          <w:numId w:val="10"/>
        </w:numPr>
      </w:pPr>
      <w:r>
        <w:t>Указать, что решение является основанием для внесения соответствующей записи в ЕГРН.</w:t>
      </w:r>
    </w:p>
    <w:p>
      <w:pPr>
        <w:pStyle w:val="ListNumber"/>
        <w:numPr>
          <w:ilvl w:val="0"/>
          <w:numId w:val="10"/>
        </w:numPr>
      </w:pPr>
      <w:r>
        <w:t>Принять обеспечительные меры в виде запрета регистрационных действий — только при доказанном риске распоряжения квартирой.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с надлежащего ответчика.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автоматически признать право собственности вместо требования о регистрации перехода. Суд выбирает защиту по исполнению договора, факту передачи и причине препятствия.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договор и акт передачи;</w:t>
      </w:r>
    </w:p>
    <w:p>
      <w:pPr>
        <w:pStyle w:val="ListBullet"/>
        <w:numPr>
          <w:ilvl w:val="0"/>
          <w:numId w:val="11"/>
        </w:numPr>
      </w:pPr>
      <w:r>
        <w:t>доказательства полной оплаты;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документы Росреестра;</w:t>
      </w:r>
    </w:p>
    <w:p>
      <w:pPr>
        <w:pStyle w:val="ListBullet"/>
        <w:numPr>
          <w:ilvl w:val="0"/>
          <w:numId w:val="11"/>
        </w:numPr>
      </w:pPr>
      <w:r>
        <w:t>сведения наследственного дела;</w:t>
      </w:r>
    </w:p>
    <w:p>
      <w:pPr>
        <w:pStyle w:val="ListBullet"/>
        <w:numPr>
          <w:ilvl w:val="0"/>
          <w:numId w:val="11"/>
        </w:numPr>
      </w:pPr>
      <w:r>
        <w:t>доказательства владения квартирой;</w:t>
      </w:r>
    </w:p>
    <w:p>
      <w:pPr>
        <w:pStyle w:val="ListBullet"/>
        <w:numPr>
          <w:ilvl w:val="0"/>
          <w:numId w:val="11"/>
        </w:numPr>
      </w:pPr>
      <w:r>
        <w:t>госпошлина и расчёт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398, 551, 556, 1110, 1112 и 1175 ГК РФ; Федеральный закон № 218-ФЗ; пункт 61 постановления Пленумов ВС РФ и ВАС РФ от 29.04.2010 № 10/22; статьи 30, 131–132 и 139–140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