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самовольную постройку</w:t>
      </w:r>
    </w:p>
    <w:p>
      <w:r>
        <w:t xml:space="preserve">Я возвёл(а) постройку ([описание: гараж, дом, пристройка]) на земельном участке, принадлежащем мне на праве собственности (аренды).</w:t>
      </w:r>
    </w:p>
    <w:p>
      <w:r>
        <w:t xml:space="preserve">Постройка возведена без разрешения на строительство.</w:t>
      </w:r>
    </w:p>
    <w:p>
      <w:r>
        <w:t xml:space="preserve">Однако:
— постройка не нарушает права третьих лиц;
— не создаёт угрозу жизни и здоровью;
— соответствует градостроительным и строительным нормам;
— я предпринимал(а) меры к легализации (обращался в администрацию).</w:t>
      </w:r>
    </w:p>
    <w:p>
      <w:r>
        <w:t xml:space="preserve">Снос постройки приведёт к несоразмерным убыткам.</w:t>
      </w:r>
    </w:p>
    <w:p/>
    <w:p>
      <w:r>
        <w:t xml:space="preserve">На основании изложенного, руководствуясь ст. 222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право собственности на самовольную постройку: [описание].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на землю</w:t>
      </w:r>
    </w:p>
    <w:p>
      <w:r>
        <w:t xml:space="preserve">2. технический план постройки</w:t>
      </w:r>
    </w:p>
    <w:p>
      <w:r>
        <w:t xml:space="preserve">3. заключение экспертизы (безопасность, соответствие нормам)</w:t>
      </w:r>
    </w:p>
    <w:p>
      <w:r>
        <w:t xml:space="preserve">4. отказы администрации в легализации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на самовольную постройку признаётся только если земля принадлежит истцу (собственность, аренда).</w:t>
      </w:r>
    </w:p>
    <w:p>
      <w:r>
        <w:rPr>
          <w:i/>
          <w:iCs/>
          <w:sz w:val="18"/>
          <w:szCs w:val="18"/>
        </w:rPr>
        <w:t xml:space="preserve">• Ключевое: постройка безопасна и не нарушает права других.</w:t>
      </w:r>
    </w:p>
    <w:p>
      <w:r>
        <w:rPr>
          <w:i/>
          <w:iCs/>
          <w:sz w:val="18"/>
          <w:szCs w:val="18"/>
        </w:rPr>
        <w:t xml:space="preserve">• Суд может отказать, если можно было получить разрешение, но истец не пытался.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[isk-priobretatelnaya-davnost-garazh]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2026-08-17T06:35:40.177Z</dcterms:created>
  <dcterms:modified xsi:type="dcterms:W3CDTF">2026-08-17T06:35:40.177Z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