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убытков после признания обмена жилья недействительным</w:t>
      </w:r>
    </w:p>
    <w:p>
      <w:r>
        <w:t xml:space="preserve">Решением суда от «___» ________ 20__ г. договор мены (обмена) жилых помещений от «___» ________ 20__ г. признан недействительным.</w:t>
      </w:r>
    </w:p>
    <w:p>
      <w:r>
        <w:t xml:space="preserve">В результате признания сделки недействительной я понёс убытки:
— расходы на риэлтора / нотариуса; [сумма] руб.;
— стоимость проведённого ремонта в квартире, которую пришлось вернуть; [сумма] руб.;
— расходы на переезд туда-обратно; [сумма] руб.;
— упущенная выгода (срыв сделки с третьим лицом).</w:t>
      </w:r>
    </w:p>
    <w:p>
      <w:r>
        <w:t xml:space="preserve">Вина Ответчика в недействительности сделки установлена судом / очевидна.</w:t>
      </w:r>
    </w:p>
    <w:p/>
    <w:p>
      <w:r>
        <w:t xml:space="preserve">На основании изложенного, руководствуясь ст. 15, 167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убытки, связанные с признанием договора мены недействительным — [сумма] руб.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суда о недействительности обмена</w:t>
      </w:r>
    </w:p>
    <w:p>
      <w:r>
        <w:t xml:space="preserve">2. документы о расходах (договоры, чеки)</w:t>
      </w:r>
    </w:p>
    <w:p>
      <w:r>
        <w:t xml:space="preserve">3. расчёт убытков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Убытки взыскиваются с виновной стороны недействительной сделки (ст. 15, 167 ГК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 со дня, когда узнал о нарушении.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 (общее правило).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убытков.</w:t>
      </w:r>
    </w:p>
    <w:p>
      <w:r>
        <w:rPr>
          <w:i/>
          <w:iCs/>
          <w:sz w:val="18"/>
          <w:szCs w:val="18"/>
        </w:rPr>
        <w:t xml:space="preserve">• Связанные документы: [isk-obmen-nedeystvitelnost]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2026-08-17T06:35:49.244Z</dcterms:created>
  <dcterms:modified xsi:type="dcterms:W3CDTF">2026-08-17T06:35:49.244Z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