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к управляющей организации об устранении промерзания и плесени</w:t>
      </w:r>
    </w:p>
    <w:p>
      <w:pPr>
        <w:pStyle w:val="SmallNote"/>
      </w:pPr>
      <w:r>
        <w:t>Категория: Иски  •  Статья сайта: №229</w:t>
      </w:r>
    </w:p>
    <w:p>
      <w:pPr>
        <w:pStyle w:val="SmallNote"/>
      </w:pPr>
      <w:r>
        <w:rPr>
          <w:color w:val="676767"/>
        </w:rPr>
        <w:t>Структура: ИСК ПО ГПК РФ: шапка • описательная часть • мотивировочная часть • расчёт • просительная часть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Причина относится к общему имуществу или ненадлежащему управлению, УК уведомлена, но не устранила нарушение; ущерб и необходимые работы подтверждены.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[мировой/районный суд по правилам подсудности]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дата и место рождения, контакты,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Ответчик: [УК/ТСЖ, адрес, ИНН/ОГРН]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[собственник, подрядчик, ГЖИ — при основаниях]</w:t>
      </w:r>
    </w:p>
    <w:p>
      <w:pPr>
        <w:spacing w:after="40"/>
        <w:jc w:val="left"/>
      </w:pPr>
      <w:r>
        <w:rPr>
          <w:color w:val="14213D"/>
          <w:sz w:val="20"/>
        </w:rPr>
        <w:t>Цена иска: [имущественные требования] • Госпошлина: [льгота/расчёт]</w:t>
      </w:r>
    </w:p>
    <w:p>
      <w:pPr>
        <w:pStyle w:val="Heading1"/>
      </w:pPr>
      <w:r>
        <w:t>ИСКОВОЕ ЗАЯВЛЕНИЕ ОБ УСТРАНЕНИИ НЕДОСТАТКОВ СОДЕРЖАНИЯ ДОМА И ВОЗМЕЩЕНИИ УБЫТКОВ</w:t>
      </w:r>
    </w:p>
    <w:p>
      <w:pPr>
        <w:pStyle w:val="Heading2"/>
      </w:pPr>
      <w:r>
        <w:t>ОПИСАТЕЛЬНАЯ ЧАСТЬ</w:t>
      </w:r>
    </w:p>
    <w:p>
      <w:r>
        <w:t>Истец владеет/пользуется квартирой [адрес]. С [период] имеются промерзание и плесень [зоны]. Причина по [акт/заключение] связана с [фасадом, швами, кровлей, вентиляцией, отоплением] — общим имуществом/обязанностями ответчика.</w:t>
      </w:r>
    </w:p>
    <w:p>
      <w:r>
        <w:t>Заявки поданы [даты], претензия вручена [дата]. Ответчик [не осмотрел/выполнил временные работы/отказал]. Повреждены [отделка, вещи]; расходы подтверждены [документы].</w:t>
      </w:r>
    </w:p>
    <w:p>
      <w:pPr>
        <w:pStyle w:val="Heading2"/>
      </w:pPr>
      <w:r>
        <w:t>МОТИВИРОВОЧНАЯ ЧАСТЬ</w:t>
      </w:r>
    </w:p>
    <w:p>
      <w:r>
        <w:t>Лицо, управляющее домом, отвечает за надлежащее содержание общего имущества в пределах закона и договора. При подтверждённом нарушении применяются требования об устранении недостатков, убытках, уменьшении платы и, при потребительском характере отношений, компенсации морального вреда и штрафе. Истец доказывает дефект, обращение, ущерб; техническая причина при споре устанавливается экспертизой.</w:t>
      </w:r>
    </w:p>
    <w:p>
      <w:pPr>
        <w:pStyle w:val="Heading2"/>
      </w:pPr>
      <w:r>
        <w:t>РАСЧЁТ ТРЕБОВАНИЙ</w:t>
      </w:r>
    </w:p>
    <w:p>
      <w:r>
        <w:t>Восстановительный ремонт [сумма] + повреждённое имущество [сумма] + обследование/осушение [сумма] + уменьшение платы [сумма] + иные убытки [сумма] = [имущественный итог]. Моральный вред и штраф указываются отдельно.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Обязать ответчика в срок [срок] устранить причину промерзания и плесени: [конкретные работы либо достижимый технический результат].</w:t>
      </w:r>
    </w:p>
    <w:p>
      <w:pPr>
        <w:pStyle w:val="ListNumber"/>
        <w:numPr>
          <w:ilvl w:val="0"/>
          <w:numId w:val="10"/>
        </w:numPr>
      </w:pPr>
      <w:r>
        <w:t>Взыскать стоимость восстановительного ремонта и иные убытки [сумма] руб.</w:t>
      </w:r>
    </w:p>
    <w:p>
      <w:pPr>
        <w:pStyle w:val="ListNumber"/>
        <w:numPr>
          <w:ilvl w:val="0"/>
          <w:numId w:val="10"/>
        </w:numPr>
      </w:pPr>
      <w:r>
        <w:t>Обязать произвести уменьшение/перерасчёт платы [период, сумма] — при доказанных основаниях.</w:t>
      </w:r>
    </w:p>
    <w:p>
      <w:pPr>
        <w:pStyle w:val="ListNumber"/>
        <w:numPr>
          <w:ilvl w:val="0"/>
          <w:numId w:val="10"/>
        </w:numPr>
      </w:pPr>
      <w:r>
        <w:t>Взыскать компенсацию морального вреда [сумма] руб. и штраф при применимости Закона о защите прав потребителей.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[сумма] руб.; назначить экспертизу по отдельному ходатайству при споре о причине.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Сначала установите границу ответственности: дефект наружной стены/шва и нарушение внутреннего режима квартиры требуют разных ответчиков и доказательств. Не требуйте с УК устранить дефект внутри помещения, если причина не относится к её обязанностям.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доказательства направления иска;</w:t>
      </w:r>
    </w:p>
    <w:p>
      <w:pPr>
        <w:pStyle w:val="ListBullet"/>
        <w:numPr>
          <w:ilvl w:val="0"/>
          <w:numId w:val="11"/>
        </w:numPr>
      </w:pPr>
      <w:r>
        <w:t>документ о госпошлине/льготе;</w:t>
      </w:r>
    </w:p>
    <w:p>
      <w:pPr>
        <w:pStyle w:val="ListBullet"/>
        <w:numPr>
          <w:ilvl w:val="0"/>
          <w:numId w:val="11"/>
        </w:numPr>
      </w:pPr>
      <w:r>
        <w:t>документы на квартиру;</w:t>
      </w:r>
    </w:p>
    <w:p>
      <w:pPr>
        <w:pStyle w:val="ListBullet"/>
        <w:numPr>
          <w:ilvl w:val="0"/>
          <w:numId w:val="11"/>
        </w:numPr>
      </w:pPr>
      <w:r>
        <w:t>договор управления и квитанции;</w:t>
      </w:r>
    </w:p>
    <w:p>
      <w:pPr>
        <w:pStyle w:val="ListBullet"/>
        <w:numPr>
          <w:ilvl w:val="0"/>
          <w:numId w:val="11"/>
        </w:numPr>
      </w:pPr>
      <w:r>
        <w:t>заявки, претензия и ответы;</w:t>
      </w:r>
    </w:p>
    <w:p>
      <w:pPr>
        <w:pStyle w:val="ListBullet"/>
        <w:numPr>
          <w:ilvl w:val="0"/>
          <w:numId w:val="11"/>
        </w:numPr>
      </w:pPr>
      <w:r>
        <w:t>акты, фото и журнал параметров;</w:t>
      </w:r>
    </w:p>
    <w:p>
      <w:pPr>
        <w:pStyle w:val="ListBullet"/>
        <w:numPr>
          <w:ilvl w:val="0"/>
          <w:numId w:val="11"/>
        </w:numPr>
      </w:pPr>
      <w:r>
        <w:t>заключение/смета/чеки;</w:t>
      </w:r>
    </w:p>
    <w:p>
      <w:pPr>
        <w:pStyle w:val="ListBullet"/>
        <w:numPr>
          <w:ilvl w:val="0"/>
          <w:numId w:val="11"/>
        </w:numPr>
      </w:pPr>
      <w:r>
        <w:t>медицинские документы — при наличии;</w:t>
      </w:r>
    </w:p>
    <w:p>
      <w:pPr>
        <w:pStyle w:val="ListBullet"/>
        <w:numPr>
          <w:ilvl w:val="0"/>
          <w:numId w:val="11"/>
        </w:numPr>
      </w:pPr>
      <w:r>
        <w:t>расчёт;</w:t>
      </w:r>
    </w:p>
    <w:p>
      <w:pPr>
        <w:pStyle w:val="ListBullet"/>
        <w:numPr>
          <w:ilvl w:val="0"/>
          <w:numId w:val="11"/>
        </w:numPr>
      </w:pPr>
      <w:r>
        <w:t>доверенность.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151, 309, 310, 1064 и 1099–1101 ГК РФ; статьи 36, 39, 154, 156 и 161 ЖК РФ; Постановления Правительства РФ № 491 и № 290; статьи 4, 13–15, 29 и 31 Закона РФ № 2300-1 — при применимости; статьи 23–24, 28–29, 56–57, 79–80, 88, 94, 98, 100, 131–132 ГПК РФ; статьи 333.19 и 333.36 НК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38" w:right="1440" w:bottom="1238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№229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83" w:lineRule="auto"/>
    </w:pPr>
    <w:rPr>
      <w:rFonts w:ascii="Calibri" w:hAnsi="Calibri"/>
      <w:color w:val="1421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60" w:line="283" w:lineRule="auto"/>
      <w:contextualSpacing/>
    </w:pPr>
    <w:rPr>
      <w:rFonts w:ascii="Calibri" w:hAnsi="Calibri"/>
      <w:color w:val="14213D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60" w:line="283" w:lineRule="auto"/>
      <w:contextualSpacing/>
    </w:pPr>
    <w:rPr>
      <w:rFonts w:ascii="Calibri" w:hAnsi="Calibri"/>
      <w:color w:val="14213D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40"/>
    </w:pPr>
    <w:rPr>
      <w:rFonts w:ascii="Calibri" w:hAnsi="Calibri"/>
      <w:b/>
      <w:color w:val="8F2B24"/>
      <w:sz w:val="42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