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о возмещении ущерба, причинённого капитальным ремонтом многоквартирного дома</w:t>
      </w:r>
    </w:p>
    <w:p>
      <w:pPr>
        <w:spacing w:after="40"/>
      </w:pPr>
      <w:r>
        <w:rPr>
          <w:b/>
          <w:color w:val="676767"/>
        </w:rPr>
        <w:t>Категория: Иски  •  Статья сайта: №311</w:t>
      </w:r>
    </w:p>
    <w:p>
      <w:pPr>
        <w:spacing w:after="160"/>
      </w:pPr>
      <w:r>
        <w:rPr>
          <w:b/>
          <w:color w:val="676767"/>
          <w:sz w:val="19"/>
        </w:rPr>
        <w:t>Структура: ИСК ПО ГПК РФ: вводная • описательная • мотивировочная • просительная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Подаётся после определения причины, размера вреда и надлежащего ответчика. При счёте регионального оператора закон прямо возлагает на него ответственность перед собственниками за последствия работы подрядчика; при специальном счёте ответчик определяется по договору и фактической вине.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районный суд / мировому судье по правилам родовой и территориальной подсудности</w:t>
      </w:r>
    </w:p>
    <w:p>
      <w:pPr>
        <w:spacing w:after="40"/>
        <w:jc w:val="left"/>
      </w:pPr>
      <w:r>
        <w:rPr>
          <w:color w:val="14213D"/>
          <w:sz w:val="20"/>
        </w:rPr>
        <w:t>Истец: [ФИО, реквизиты по ст. 131 ГПК РФ]</w:t>
      </w:r>
    </w:p>
    <w:p>
      <w:pPr>
        <w:spacing w:after="40"/>
        <w:jc w:val="left"/>
      </w:pPr>
      <w:r>
        <w:rPr>
          <w:color w:val="14213D"/>
          <w:sz w:val="20"/>
        </w:rPr>
        <w:t>Ответчик: [региональный оператор / заказчик / подрядчик — после проверки основания, адрес, ОГРН/ИНН]</w:t>
      </w:r>
    </w:p>
    <w:p>
      <w:pPr>
        <w:spacing w:after="40"/>
        <w:jc w:val="left"/>
      </w:pPr>
      <w:r>
        <w:rPr>
          <w:color w:val="14213D"/>
          <w:sz w:val="20"/>
        </w:rPr>
        <w:t>Соответчики / третьи лица: [УК / ТСЖ / подрядчик — по ситуации]</w:t>
      </w:r>
    </w:p>
    <w:p>
      <w:pPr>
        <w:spacing w:after="40"/>
        <w:jc w:val="left"/>
      </w:pPr>
      <w:r>
        <w:rPr>
          <w:color w:val="14213D"/>
          <w:sz w:val="20"/>
        </w:rPr>
        <w:t>Цена иска: [имущественный ущерб + иные денежные требования]</w:t>
      </w:r>
    </w:p>
    <w:p>
      <w:pPr>
        <w:spacing w:after="40"/>
        <w:jc w:val="left"/>
      </w:pPr>
      <w:r>
        <w:rPr>
          <w:color w:val="14213D"/>
          <w:sz w:val="20"/>
        </w:rPr>
        <w:t>Госпошлина: [расчёт / льгота по потребительскому спору, если применима]</w:t>
      </w:r>
    </w:p>
    <w:p>
      <w:pPr>
        <w:pStyle w:val="Heading1"/>
      </w:pPr>
      <w:r>
        <w:t>ИСКОВОЕ ЗАЯВЛЕНИЕ О ВОЗМЕЩЕНИИ УЩЕРБА, ПРИЧИНЁННОГО НЕНАДЛЕЖАЩИМ КАПИТАЛЬНЫМ РЕМОНТОМ</w:t>
      </w:r>
    </w:p>
    <w:p>
      <w:pPr>
        <w:pStyle w:val="Heading2"/>
      </w:pPr>
      <w:r>
        <w:t>ОПИСАТЕЛЬНАЯ ЧАСТЬ</w:t>
      </w:r>
    </w:p>
    <w:p>
      <w:r>
        <w:t>Истец является [собственником / законным пользователем] квартиры [адрес]. В доме выполнялся капитальный ремонт [вид] по договору [реквизиты] в период [даты]. Способ формирования фонда: [счёт регионального оператора / специальный счёт].</w:t>
      </w:r>
    </w:p>
    <w:p>
      <w:r>
        <w:t>[Дата] произошли повреждения: [описание]. Актами [даты] и заключением [специалист, дата] установлена причина — [дефект работ / нарушение технологии]. Ответчик извещался об осмотре [доказательство].</w:t>
      </w:r>
    </w:p>
    <w:p>
      <w:r>
        <w:t>Стоимость восстановления составляет [сумма] руб., расходы на оценку и аварийные меры — [сумма] руб., иные убытки — [сумма] руб. Претензия от [дата] [отклонена / оставлена без ответа].</w:t>
      </w:r>
    </w:p>
    <w:p>
      <w:pPr>
        <w:pStyle w:val="Heading2"/>
      </w:pPr>
      <w:r>
        <w:t>МОТИВИРОВОЧНАЯ ЧАСТЬ</w:t>
      </w:r>
    </w:p>
    <w:p>
      <w:r>
        <w:t>Убытки возмещаются при доказанности нарушения, вреда, причинной связи и размера. Региональный оператор отвечает перед собственниками, формирующими фонд на его счёте, за последствия ненадлежащего исполнения подрядными организациями. При специальном счёте ответственность обосновывается договором и действиями каждого ответчика.</w:t>
      </w:r>
    </w:p>
    <w:p>
      <w:pPr>
        <w:pStyle w:val="Heading2"/>
      </w:pPr>
      <w:r>
        <w:t>ПРОСИТЕЛЬНАЯ ЧАСТЬ</w:t>
      </w:r>
    </w:p>
    <w:p>
      <w:r>
        <w:t>На основании статей 15, 309, 393, 723–724 и 1064 ГК РФ, статей 166–168 и 182 ЖК РФ, статей 23–24, 28–29, 56–57, 91, 131–132 ГПК РФ ПРОШУ:</w:t>
      </w:r>
    </w:p>
    <w:p>
      <w:pPr>
        <w:pStyle w:val="ListNumber"/>
        <w:numPr>
          <w:ilvl w:val="0"/>
          <w:numId w:val="10"/>
        </w:numPr>
      </w:pPr>
      <w:r>
        <w:t>Взыскать с ответчика стоимость восстановительного ремонта [сумма] руб.</w:t>
      </w:r>
    </w:p>
    <w:p>
      <w:pPr>
        <w:pStyle w:val="ListNumber"/>
        <w:numPr>
          <w:ilvl w:val="0"/>
          <w:numId w:val="10"/>
        </w:numPr>
      </w:pPr>
      <w:r>
        <w:t>Взыскать дополнительные доказанные убытки [перечень, сумма] руб.</w:t>
      </w:r>
    </w:p>
    <w:p>
      <w:pPr>
        <w:pStyle w:val="ListNumber"/>
        <w:numPr>
          <w:ilvl w:val="0"/>
          <w:numId w:val="10"/>
        </w:numPr>
      </w:pPr>
      <w:r>
        <w:t>Обязать устранить продолжающийся дефект [точно] в срок [срок] — если источник ещё не устранён и требование допустимо.</w:t>
      </w:r>
    </w:p>
    <w:p>
      <w:pPr>
        <w:pStyle w:val="ListNumber"/>
        <w:numPr>
          <w:ilvl w:val="0"/>
          <w:numId w:val="10"/>
        </w:numPr>
      </w:pPr>
      <w:r>
        <w:t>Взыскать компенсацию морального вреда и потребительский штраф — только если суд признает применимым законодательство о защите прав потребителей и требования заявлены.</w:t>
      </w:r>
    </w:p>
    <w:p>
      <w:pPr>
        <w:pStyle w:val="ListNumber"/>
        <w:numPr>
          <w:ilvl w:val="0"/>
          <w:numId w:val="10"/>
        </w:numPr>
      </w:pPr>
      <w:r>
        <w:t>Взыскать расходы на оценку, представителя и иные судебные расходы [сумма].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В шапке и требованиях оставьте только надлежащих участников после проверки способа формирования фонда и договора. Если причина спорна, приложите отдельное ходатайство о строительно-технической экспертизе.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подтверждение направления иска;</w:t>
      </w:r>
    </w:p>
    <w:p>
      <w:pPr>
        <w:pStyle w:val="ListBullet"/>
        <w:numPr>
          <w:ilvl w:val="0"/>
          <w:numId w:val="11"/>
        </w:numPr>
      </w:pPr>
      <w:r>
        <w:t>правоустанавливающие документы;</w:t>
      </w:r>
    </w:p>
    <w:p>
      <w:pPr>
        <w:pStyle w:val="ListBullet"/>
        <w:numPr>
          <w:ilvl w:val="0"/>
          <w:numId w:val="11"/>
        </w:numPr>
      </w:pPr>
      <w:r>
        <w:t>документы о способе формирования фонда;</w:t>
      </w:r>
    </w:p>
    <w:p>
      <w:pPr>
        <w:pStyle w:val="ListBullet"/>
        <w:numPr>
          <w:ilvl w:val="0"/>
          <w:numId w:val="11"/>
        </w:numPr>
      </w:pPr>
      <w:r>
        <w:t>договор и акты капремонта — если получены;</w:t>
      </w:r>
    </w:p>
    <w:p>
      <w:pPr>
        <w:pStyle w:val="ListBullet"/>
        <w:numPr>
          <w:ilvl w:val="0"/>
          <w:numId w:val="11"/>
        </w:numPr>
      </w:pPr>
      <w:r>
        <w:t>акты аварийной службы / УК;</w:t>
      </w:r>
    </w:p>
    <w:p>
      <w:pPr>
        <w:pStyle w:val="ListBullet"/>
        <w:numPr>
          <w:ilvl w:val="0"/>
          <w:numId w:val="11"/>
        </w:numPr>
      </w:pPr>
      <w:r>
        <w:t>фото и видео;</w:t>
      </w:r>
    </w:p>
    <w:p>
      <w:pPr>
        <w:pStyle w:val="ListBullet"/>
        <w:numPr>
          <w:ilvl w:val="0"/>
          <w:numId w:val="11"/>
        </w:numPr>
      </w:pPr>
      <w:r>
        <w:t>заключение специалиста / оценка;</w:t>
      </w:r>
    </w:p>
    <w:p>
      <w:pPr>
        <w:pStyle w:val="ListBullet"/>
        <w:numPr>
          <w:ilvl w:val="0"/>
          <w:numId w:val="11"/>
        </w:numPr>
      </w:pPr>
      <w:r>
        <w:t>уведомления об осмотре;</w:t>
      </w:r>
    </w:p>
    <w:p>
      <w:pPr>
        <w:pStyle w:val="ListBullet"/>
        <w:numPr>
          <w:ilvl w:val="0"/>
          <w:numId w:val="11"/>
        </w:numPr>
      </w:pPr>
      <w:r>
        <w:t>претензия и ответ;</w:t>
      </w:r>
    </w:p>
    <w:p>
      <w:pPr>
        <w:pStyle w:val="ListBullet"/>
        <w:numPr>
          <w:ilvl w:val="0"/>
          <w:numId w:val="11"/>
        </w:numPr>
      </w:pPr>
      <w:r>
        <w:t>расчёт цены иска и убытков;</w:t>
      </w:r>
    </w:p>
    <w:p>
      <w:pPr>
        <w:pStyle w:val="ListBullet"/>
        <w:numPr>
          <w:ilvl w:val="0"/>
          <w:numId w:val="11"/>
        </w:numPr>
      </w:pPr>
      <w:r>
        <w:t>чеки и сметы;</w:t>
      </w:r>
    </w:p>
    <w:p>
      <w:pPr>
        <w:pStyle w:val="ListBullet"/>
        <w:numPr>
          <w:ilvl w:val="0"/>
          <w:numId w:val="11"/>
        </w:numPr>
      </w:pPr>
      <w:r>
        <w:t>документ о госпошлине / льготе;</w:t>
      </w:r>
    </w:p>
    <w:p>
      <w:pPr>
        <w:pStyle w:val="ListBullet"/>
        <w:numPr>
          <w:ilvl w:val="0"/>
          <w:numId w:val="11"/>
        </w:numPr>
      </w:pPr>
      <w:r>
        <w:t>доверенность представителя.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15, 309, 393, 723–724, 1064 и 1082 ГК РФ; статьи 166–168 и часть 6 статьи 182 ЖК РФ; Постановление Правительства РФ № 615; Закон РФ № 2300-1 — в применимой части; статьи 23–24, 28–29, 56–57, 79, 91, 131–132 ГПК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28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№311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