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 возмещении ущерба от просадки фундамента из-за соседней стройки</w:t>
      </w:r>
    </w:p>
    <w:p>
      <w:pPr>
        <w:spacing w:after="40"/>
      </w:pPr>
      <w:r>
        <w:rPr>
          <w:b/>
          <w:color w:val="676767"/>
        </w:rPr>
        <w:t>Категория: Иски  •  Статья сайта: №457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после определения надлежащих ответчиков и технической фиксации причинной связи. При продолжающейся опасности можно заявить требование о предотвращении вреда и ходатайство об обеспечительных мерах.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[районный суд по правилам подсудности]</w:t>
      </w:r>
    </w:p>
    <w:p>
      <w:pPr>
        <w:spacing w:after="40"/>
        <w:jc w:val="left"/>
      </w:pPr>
      <w:r>
        <w:rPr>
          <w:color w:val="14213D"/>
          <w:sz w:val="20"/>
        </w:rPr>
        <w:t>Истец: [ФИО собственника,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Ответчики: [застройщик / подрядчик / владелец источника опасности]</w:t>
      </w:r>
    </w:p>
    <w:p>
      <w:pPr>
        <w:spacing w:after="40"/>
        <w:jc w:val="left"/>
      </w:pPr>
      <w:r>
        <w:rPr>
          <w:color w:val="14213D"/>
          <w:sz w:val="20"/>
        </w:rPr>
        <w:t>Третьи лица: [страховщик, администрация — при необходимости]</w:t>
      </w:r>
    </w:p>
    <w:p>
      <w:pPr>
        <w:spacing w:after="40"/>
        <w:jc w:val="left"/>
      </w:pPr>
      <w:r>
        <w:rPr>
          <w:color w:val="14213D"/>
          <w:sz w:val="20"/>
        </w:rPr>
        <w:t>Цена иска: [сумма] руб.  Госпошлина: [расчёт]</w:t>
      </w:r>
    </w:p>
    <w:p>
      <w:pPr>
        <w:pStyle w:val="Heading1"/>
      </w:pPr>
      <w:r>
        <w:t>ИСКОВОЕ ЗАЯВЛЕНИЕ О ВОЗМЕЩЕНИИ УЩЕРБА И ПРЕДОТВРАЩЕНИИ ВРЕДА</w:t>
      </w:r>
    </w:p>
    <w:p>
      <w:r>
        <w:t>Истцу принадлежит дом [адрес]. Ответчики ведут строительные работы на объекте [адрес] с [дата]. После [конкретные работы] возникли [дефекты].</w:t>
      </w:r>
    </w:p>
    <w:p>
      <w:r>
        <w:t>Причинная связь подтверждается [заключение, мониторинг, акты, проектные нарушения]. Стоимость восстановления — [сумма] руб.; обследование и противоаварийные меры — [суммы].</w:t>
      </w:r>
    </w:p>
    <w:p>
      <w:pPr>
        <w:pStyle w:val="Heading2"/>
      </w:pPr>
      <w:r>
        <w:t>ПРОШУ СУД</w:t>
      </w:r>
    </w:p>
    <w:p>
      <w:pPr>
        <w:pStyle w:val="ListNumber"/>
        <w:numPr>
          <w:ilvl w:val="0"/>
          <w:numId w:val="10"/>
        </w:numPr>
      </w:pPr>
      <w:r>
        <w:t>Взыскать стоимость восстановительного ремонта в размере [сумма] руб. с надлежащего ответчика / ответчиков по указанным основаниям.</w:t>
      </w:r>
    </w:p>
    <w:p>
      <w:pPr>
        <w:pStyle w:val="ListNumber"/>
        <w:numPr>
          <w:ilvl w:val="0"/>
          <w:numId w:val="10"/>
        </w:numPr>
      </w:pPr>
      <w:r>
        <w:t>Взыскать расходы на обследование, мониторинг и срочные безопасные меры в размере [сумма] руб.</w:t>
      </w:r>
    </w:p>
    <w:p>
      <w:pPr>
        <w:pStyle w:val="ListNumber"/>
        <w:numPr>
          <w:ilvl w:val="0"/>
          <w:numId w:val="10"/>
        </w:numPr>
      </w:pPr>
      <w:r>
        <w:t>Обязать прекратить или изменить конкретную деятельность, создающую доказанную опасность дальнейшего вреда: [точная мера].</w:t>
      </w:r>
    </w:p>
    <w:p>
      <w:pPr>
        <w:pStyle w:val="ListNumber"/>
        <w:numPr>
          <w:ilvl w:val="0"/>
          <w:numId w:val="10"/>
        </w:numPr>
      </w:pPr>
      <w:r>
        <w:t>Назначить строительно-техническую экспертизу и поставить вопросы об исходном состоянии, причине, объёме повреждений и способе восстановления.</w:t>
      </w:r>
    </w:p>
    <w:p>
      <w:pPr>
        <w:pStyle w:val="ListNumber"/>
        <w:numPr>
          <w:ilvl w:val="0"/>
          <w:numId w:val="10"/>
        </w:numPr>
      </w:pPr>
      <w:r>
        <w:t>Взыскать судебные расходы.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просите суд остановить всю стройку без технического обоснования конкретной опасности. Формулировка обеспечительной меры должна быть соразмерна и исполнима.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документы о собственности;</w:t>
      </w:r>
    </w:p>
    <w:p>
      <w:pPr>
        <w:pStyle w:val="ListBullet"/>
        <w:numPr>
          <w:ilvl w:val="0"/>
          <w:numId w:val="11"/>
        </w:numPr>
      </w:pPr>
      <w:r>
        <w:t>фото до и после, акты и мониторинг;</w:t>
      </w:r>
    </w:p>
    <w:p>
      <w:pPr>
        <w:pStyle w:val="ListBullet"/>
        <w:numPr>
          <w:ilvl w:val="0"/>
          <w:numId w:val="11"/>
        </w:numPr>
      </w:pPr>
      <w:r>
        <w:t>заключение специалиста и смета;</w:t>
      </w:r>
    </w:p>
    <w:p>
      <w:pPr>
        <w:pStyle w:val="ListBullet"/>
        <w:numPr>
          <w:ilvl w:val="0"/>
          <w:numId w:val="11"/>
        </w:numPr>
      </w:pPr>
      <w:r>
        <w:t>документы стройки и ответы контроля;</w:t>
      </w:r>
    </w:p>
    <w:p>
      <w:pPr>
        <w:pStyle w:val="ListBullet"/>
        <w:numPr>
          <w:ilvl w:val="0"/>
          <w:numId w:val="11"/>
        </w:numPr>
      </w:pPr>
      <w:r>
        <w:t>претензия и приглашение на осмотр;</w:t>
      </w:r>
    </w:p>
    <w:p>
      <w:pPr>
        <w:pStyle w:val="ListBullet"/>
        <w:numPr>
          <w:ilvl w:val="0"/>
          <w:numId w:val="11"/>
        </w:numPr>
      </w:pPr>
      <w:r>
        <w:t>платёжные документы и расчёт иска.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15, 1064, 1065, 1068 и 1079 ГК РФ; статьи 55–57, 79, 91, 98 и 131–132 ГПК РФ. Ответственность и солидарность не предполагаются автоматически и обосновываются ролью каждого ответчика.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№457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