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нарушений права на участок и переносе линейного объекта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№316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Судебный документ собственника, если сеть размещена или эксплуатируется без надлежащего права либо создаёт доказанное нарушение, которое нельзя устранить менее обременительным способом. Для законной старой сети, сервитута или публичного сервитута предмет и ответчик могут быть другими; бесплатный перенос не предполагается автоматически.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земельного участка</w:t>
      </w:r>
    </w:p>
    <w:p>
      <w:pPr>
        <w:spacing w:after="40"/>
        <w:jc w:val="left"/>
      </w:pPr>
      <w:r>
        <w:rPr>
          <w:color w:val="14213D"/>
          <w:sz w:val="20"/>
        </w:rPr>
        <w:t>Истец: [ФИО,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[владелец / эксплуатирующая организация, адрес, ОГРН/ИНН]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[орган местного самоуправления, Росреестр, собственник сети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неимущественное требование; при убытках — [сумма]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 / льгота]</w:t>
      </w:r>
    </w:p>
    <w:p>
      <w:pPr>
        <w:pStyle w:val="Heading1"/>
      </w:pPr>
      <w:r>
        <w:t>ИСКОВОЕ ЗАЯВЛЕНИЕ ОБ УСТРАНЕНИИ НАРУШЕНИЙ ПРАВА НА ЗЕМЕЛЬНЫЙ УЧАСТОК И ПЕРЕНОСЕ ЛИНЕЙНОГО ОБЪЕКТА</w:t>
      </w:r>
    </w:p>
    <w:p>
      <w:pPr>
        <w:pStyle w:val="Heading2"/>
      </w:pPr>
      <w:r>
        <w:t>ОПИСАТЕЛЬНАЯ ЧАСТЬ</w:t>
      </w:r>
    </w:p>
    <w:p>
      <w:r>
        <w:t>Истцу принадлежит участок [кадастровый номер, адрес, вид использования] с [дата]. На нём расположен объект ответчика [описание и координаты], введённый / обнаруженный [дата].</w:t>
      </w:r>
    </w:p>
    <w:p>
      <w:r>
        <w:t>Объект препятствует использованию участка: [конкретно]. Право ответчика на занятие части участка не зарегистрировано / документ не представлен / размещение выходит за пределы сервитута. Это подтверждается [ЕГРН, ответы, экспертиза].</w:t>
      </w:r>
    </w:p>
    <w:p>
      <w:r>
        <w:t>Истец предложил варианты [перенос, изменение трассы, оформление права] письмом от [дата]. Ответчик [отказал / не ответил]. Техническая возможность и стоимость варианта подтверждаются [заключение].</w:t>
      </w:r>
    </w:p>
    <w:p>
      <w:pPr>
        <w:pStyle w:val="Heading2"/>
      </w:pPr>
      <w:r>
        <w:t>МОТИВИРОВОЧНАЯ ЧАСТЬ</w:t>
      </w:r>
    </w:p>
    <w:p>
      <w:r>
        <w:t>Собственник вправе требовать устранения нарушения права. Для линейного объекта суд оценивает законность и давность размещения, наличие частного или публичного сервитута, возможность использования участка по назначению, соразмерность переноса и распределение расходов. Одна запись об охранной зоне не доказывает договорное право занимать участок.</w:t>
      </w:r>
    </w:p>
    <w:p>
      <w:pPr>
        <w:pStyle w:val="Heading2"/>
      </w:pPr>
      <w:r>
        <w:t>ПРОСИТЕЛЬНАЯ ЧАСТЬ</w:t>
      </w:r>
    </w:p>
    <w:p>
      <w:r>
        <w:t>На основании статей 209 и 304 ГК РФ, статей 23 и 39.37–39.50 ЗК РФ, статей 24, 30, 56–57, 131–132 ГПК РФ ПРОШУ:</w:t>
      </w:r>
    </w:p>
    <w:p>
      <w:pPr>
        <w:pStyle w:val="ListNumber"/>
        <w:numPr>
          <w:ilvl w:val="0"/>
          <w:numId w:val="10"/>
        </w:numPr>
      </w:pPr>
      <w:r>
        <w:t>Обязать ответчика устранить нарушение права истца путём переноса [объект] за пределы участка / в координаты [вариант] в срок [срок] в соответствии с требованиями безопасности.</w:t>
      </w:r>
    </w:p>
    <w:p>
      <w:pPr>
        <w:pStyle w:val="ListNumber"/>
        <w:numPr>
          <w:ilvl w:val="0"/>
          <w:numId w:val="10"/>
        </w:numPr>
      </w:pPr>
      <w:r>
        <w:t>Обязать ответчика после работ восстановить участок и передать исполнительную документацию — если это следует из основания ответственности.</w:t>
      </w:r>
    </w:p>
    <w:p>
      <w:pPr>
        <w:pStyle w:val="ListNumber"/>
        <w:numPr>
          <w:ilvl w:val="0"/>
          <w:numId w:val="10"/>
        </w:numPr>
      </w:pPr>
      <w:r>
        <w:t>Взыскать убытки [сумма] руб. и судебные расходы [сумма] руб. — при наличии доказательств.</w:t>
      </w:r>
    </w:p>
    <w:p>
      <w:pPr>
        <w:pStyle w:val="ListNumber"/>
        <w:numPr>
          <w:ilvl w:val="0"/>
          <w:numId w:val="10"/>
        </w:numPr>
      </w:pPr>
      <w:r>
        <w:t>Назначить судебную землеустроительную / строительно-техническую экспертизу по отдельному ходатайству, если техническая возможность и варианты спорны.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действует публичный сервитут, оспаривание решения органа власти и требование платы/убытков могут рассматриваться по другой процедуре. Не оставляйте в иске альтернативные формулировки — выберите точный способ защиты после проверки документов.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иска;</w:t>
      </w:r>
    </w:p>
    <w:p>
      <w:pPr>
        <w:pStyle w:val="ListBullet"/>
        <w:numPr>
          <w:ilvl w:val="0"/>
          <w:numId w:val="11"/>
        </w:numPr>
      </w:pPr>
      <w:r>
        <w:t>выписка ЕГРН и правоустанавливающие документы;</w:t>
      </w:r>
    </w:p>
    <w:p>
      <w:pPr>
        <w:pStyle w:val="ListBullet"/>
        <w:numPr>
          <w:ilvl w:val="0"/>
          <w:numId w:val="11"/>
        </w:numPr>
      </w:pPr>
      <w:r>
        <w:t>межевой план и схема координат;</w:t>
      </w:r>
    </w:p>
    <w:p>
      <w:pPr>
        <w:pStyle w:val="ListBullet"/>
        <w:numPr>
          <w:ilvl w:val="0"/>
          <w:numId w:val="11"/>
        </w:numPr>
      </w:pPr>
      <w:r>
        <w:t>документы о сети, сервитуте и охранной зоне;</w:t>
      </w:r>
    </w:p>
    <w:p>
      <w:pPr>
        <w:pStyle w:val="ListBullet"/>
        <w:numPr>
          <w:ilvl w:val="0"/>
          <w:numId w:val="11"/>
        </w:numPr>
      </w:pPr>
      <w:r>
        <w:t>ответы владельца сети и органов;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заключение специалиста о вариантах и стоимости;</w:t>
      </w:r>
    </w:p>
    <w:p>
      <w:pPr>
        <w:pStyle w:val="ListBullet"/>
        <w:numPr>
          <w:ilvl w:val="0"/>
          <w:numId w:val="11"/>
        </w:numPr>
      </w:pPr>
      <w:r>
        <w:t>доказательства препятствий использованию участка;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274–276, 304 и 1064 ГК РФ; статьи 23 и 39.37–39.50 ЗК РФ; Федеральный закон № 218-ФЗ; статьи 24, 30, 56–57, 79,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