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об устранении нарушений права из-за шума от соседей</w:t>
      </w:r>
    </w:p>
    <w:p>
      <w:pPr>
        <w:pStyle w:val="SmallNote"/>
      </w:pPr>
      <w:r>
        <w:t>Категория: Иски  •  Статья сайта: №234</w:t>
      </w:r>
    </w:p>
    <w:p>
      <w:pPr>
        <w:pStyle w:val="SmallNote"/>
      </w:pPr>
      <w:r>
        <w:rPr>
          <w:color w:val="676767"/>
        </w:rPr>
        <w:t>Структура: ИСК ПО ГПК РФ: шапка • описательная часть • мотивировочная часть • расчёт • просительная часть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Повторяющийся шум от конкретного жильца существенно мешает пользованию жильём, нарушения зафиксированы, обращения не помогли, а ответчик установлен.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 по месту нахождения помещения/правилам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дата и место рождения, контакты,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Ответчик: [ФИО собственника/жильца, адрес, идентификатор — если известен]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[собственник, наймодатель, УК, администрация — при основаниях]</w:t>
      </w:r>
    </w:p>
    <w:p>
      <w:pPr>
        <w:spacing w:after="40"/>
        <w:jc w:val="left"/>
      </w:pPr>
      <w:r>
        <w:rPr>
          <w:color w:val="14213D"/>
          <w:sz w:val="20"/>
        </w:rPr>
        <w:t>Цена иска: [при денежных требованиях] • Госпошлина: [расчёт/льгота]</w:t>
      </w:r>
    </w:p>
    <w:p>
      <w:pPr>
        <w:pStyle w:val="Heading1"/>
      </w:pPr>
      <w:r>
        <w:t>ИСКОВОЕ ЗАЯВЛЕНИЕ ОБ УСТРАНЕНИИ НАРУШЕНИЙ ПРАВА ПОЛЬЗОВАНИЯ ЖИЛЫМ ПОМЕЩЕНИЕМ</w:t>
      </w:r>
    </w:p>
    <w:p>
      <w:pPr>
        <w:pStyle w:val="Heading2"/>
      </w:pPr>
      <w:r>
        <w:t>ОПИСАТЕЛЬНАЯ ЧАСТЬ</w:t>
      </w:r>
    </w:p>
    <w:p>
      <w:r>
        <w:t>Истец проживает/владеет помещением [адрес]. Из квартиры [номер] с [период] повторяется [музыка, ремонт, удары, крики] в периоды [точно].</w:t>
      </w:r>
    </w:p>
    <w:p>
      <w:r>
        <w:t>События подтверждаются [вызовы полиции, протоколы, акты, свидетели, записи]. Истец обращался [даты]; ответчик [реакция]. Если спорен технический источник общего имущества, это отражено отдельно.</w:t>
      </w:r>
    </w:p>
    <w:p>
      <w:pPr>
        <w:pStyle w:val="Heading2"/>
      </w:pPr>
      <w:r>
        <w:t>МОТИВИРОВОЧНАЯ ЧАСТЬ</w:t>
      </w:r>
    </w:p>
    <w:p>
      <w:r>
        <w:t>Жилое помещение используется с соблюдением прав соседей и обязательных требований. Собственник или законный владелец может требовать прекращения продолжающегося нарушения. Нарушение регионального режима тишины и превышение санитарных уровней — разные основания и подтверждаются различными доказательствами.</w:t>
      </w:r>
    </w:p>
    <w:p>
      <w:pPr>
        <w:pStyle w:val="Heading2"/>
      </w:pPr>
      <w:r>
        <w:t>РАСЧЁТ ТРЕБОВАНИЙ</w:t>
      </w:r>
    </w:p>
    <w:p>
      <w:r>
        <w:t>Подтверждённые расходы [сумма] + ущерб [сумма] = [итого] руб. Компенсация морального вреда [сумма] заявляется отдельно при наличии доказанного нарушения личных неимущественных прав.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Обязать ответчика прекратить конкретные действия: [перечень] в периоды и пределах, установленных применимым законом и решением суда.</w:t>
      </w:r>
    </w:p>
    <w:p>
      <w:pPr>
        <w:pStyle w:val="ListNumber"/>
        <w:numPr>
          <w:ilvl w:val="0"/>
          <w:numId w:val="10"/>
        </w:numPr>
      </w:pPr>
      <w:r>
        <w:t>Обязать устранить подтверждённый технический источник шума в квартире [например, неверно установленное оборудование] в срок [срок] — если это предмет спора.</w:t>
      </w:r>
    </w:p>
    <w:p>
      <w:pPr>
        <w:pStyle w:val="ListNumber"/>
        <w:numPr>
          <w:ilvl w:val="0"/>
          <w:numId w:val="10"/>
        </w:numPr>
      </w:pPr>
      <w:r>
        <w:t>Взыскать доказанный имущественный вред [сумма] руб. и компенсацию морального вреда [сумма] руб. — при наличии оснований.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[сумма] руб.</w:t>
      </w:r>
    </w:p>
    <w:p>
      <w:pPr>
        <w:pStyle w:val="ListNumber"/>
        <w:numPr>
          <w:ilvl w:val="0"/>
          <w:numId w:val="10"/>
        </w:numPr>
      </w:pPr>
      <w:r>
        <w:t>Истребовать материалы вызовов и назначить экспертизу только по отдельным ходатайствам.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В России нет единого федерального расписания тишины для всех регионов. Перед подачей вставьте название и действующую норму закона конкретного субъекта РФ.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доказательства направления иска;</w:t>
      </w:r>
    </w:p>
    <w:p>
      <w:pPr>
        <w:pStyle w:val="ListBullet"/>
        <w:numPr>
          <w:ilvl w:val="0"/>
          <w:numId w:val="11"/>
        </w:numPr>
      </w:pPr>
      <w:r>
        <w:t>госпошлина/льгота;</w:t>
      </w:r>
    </w:p>
    <w:p>
      <w:pPr>
        <w:pStyle w:val="ListBullet"/>
        <w:numPr>
          <w:ilvl w:val="0"/>
          <w:numId w:val="11"/>
        </w:numPr>
      </w:pPr>
      <w:r>
        <w:t>документы на жильё/регистрацию;</w:t>
      </w:r>
    </w:p>
    <w:p>
      <w:pPr>
        <w:pStyle w:val="ListBullet"/>
        <w:numPr>
          <w:ilvl w:val="0"/>
          <w:numId w:val="11"/>
        </w:numPr>
      </w:pPr>
      <w:r>
        <w:t>журнал событий;</w:t>
      </w:r>
    </w:p>
    <w:p>
      <w:pPr>
        <w:pStyle w:val="ListBullet"/>
        <w:numPr>
          <w:ilvl w:val="0"/>
          <w:numId w:val="11"/>
        </w:numPr>
      </w:pPr>
      <w:r>
        <w:t>материалы полиции и органов;</w:t>
      </w:r>
    </w:p>
    <w:p>
      <w:pPr>
        <w:pStyle w:val="ListBullet"/>
        <w:numPr>
          <w:ilvl w:val="0"/>
          <w:numId w:val="11"/>
        </w:numPr>
      </w:pPr>
      <w:r>
        <w:t>акты УК;</w:t>
      </w:r>
    </w:p>
    <w:p>
      <w:pPr>
        <w:pStyle w:val="ListBullet"/>
        <w:numPr>
          <w:ilvl w:val="0"/>
          <w:numId w:val="11"/>
        </w:numPr>
      </w:pPr>
      <w:r>
        <w:t>записи и свидетели;</w:t>
      </w:r>
    </w:p>
    <w:p>
      <w:pPr>
        <w:pStyle w:val="ListBullet"/>
        <w:numPr>
          <w:ilvl w:val="0"/>
          <w:numId w:val="11"/>
        </w:numPr>
      </w:pPr>
      <w:r>
        <w:t>медицинские документы — при наличии;</w:t>
      </w:r>
    </w:p>
    <w:p>
      <w:pPr>
        <w:pStyle w:val="ListBullet"/>
        <w:numPr>
          <w:ilvl w:val="0"/>
          <w:numId w:val="11"/>
        </w:numPr>
      </w:pPr>
      <w:r>
        <w:t>расчёт;</w:t>
      </w:r>
    </w:p>
    <w:p>
      <w:pPr>
        <w:pStyle w:val="ListBullet"/>
        <w:numPr>
          <w:ilvl w:val="0"/>
          <w:numId w:val="11"/>
        </w:numPr>
      </w:pPr>
      <w:r>
        <w:t>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12, 151, 304, 305, 1064 и 1099–1101 ГК РФ; статьи 17 и 30 ЖК РФ; региональный закон о тишине; статьи 28–30, 56–57, 67, 79–80, 88, 94, 98, 100, 131–132 ГПК РФ; статья 333.19 НК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№234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