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umentTitle"/>
      </w:pPr>
      <w:r>
        <w:t>Иск об устранении препятствий в пользовании участком и переносе забора</w:t>
      </w:r>
    </w:p>
    <w:p>
      <w:pPr>
        <w:pStyle w:val="SmallNote"/>
      </w:pPr>
      <w:r>
        <w:t>Категория: Иски  •  Статья сайта: №259</w:t>
      </w:r>
    </w:p>
    <w:p>
      <w:pPr>
        <w:pStyle w:val="SmallNote"/>
      </w:pPr>
      <w:r>
        <w:rPr>
          <w:color w:val="676767"/>
        </w:rPr>
        <w:t>Структура: ИСК ПО ГПК РФ: шапка • описательная часть • мотивировочная часть • расчёт • просительная часть • приложения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5F0E4"/>
            <w:tcBorders>
              <w:top w:val="single" w:sz="8" w:space="0" w:color="8F2B24"/>
              <w:left w:val="single" w:sz="8" w:space="0" w:color="8F2B24"/>
              <w:bottom w:val="single" w:sz="8" w:space="0" w:color="8F2B24"/>
              <w:right w:val="single" w:sz="8" w:space="0" w:color="8F2B24"/>
              <w:insideH w:val="single" w:sz="8" w:space="0" w:color="8F2B24"/>
              <w:insideV w:val="single" w:sz="8" w:space="0" w:color="8F2B24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Когда использовать. </w:t>
            </w:r>
            <w:r>
              <w:rPr>
                <w:color w:val="14213D"/>
              </w:rPr>
              <w:t>Когда право истца и граница подтверждены, но сосед продолжает занимать спорную полосу. Если сама граница не установлена или ошибочна, используйте готовый иск об установлении границ и уточните требования.</w:t>
            </w:r>
          </w:p>
        </w:tc>
      </w:tr>
    </w:tbl>
    <w:p>
      <w:pPr>
        <w:pStyle w:val="Heading2"/>
      </w:pPr>
      <w:r>
        <w:t>Куда и от кого</w:t>
      </w:r>
    </w:p>
    <w:p>
      <w:pPr>
        <w:spacing w:after="40"/>
        <w:jc w:val="right"/>
      </w:pPr>
      <w:r>
        <w:rPr>
          <w:color w:val="14213D"/>
          <w:sz w:val="20"/>
        </w:rPr>
        <w:t>В [районный суд по месту участка]</w:t>
      </w:r>
    </w:p>
    <w:p>
      <w:pPr>
        <w:spacing w:after="40"/>
        <w:jc w:val="left"/>
      </w:pPr>
      <w:r>
        <w:rPr>
          <w:color w:val="14213D"/>
          <w:sz w:val="20"/>
        </w:rPr>
        <w:t>Истец: [ФИО, адрес, дата и место рождения, контакты, идентификатор]</w:t>
      </w:r>
    </w:p>
    <w:p>
      <w:pPr>
        <w:spacing w:after="40"/>
        <w:jc w:val="left"/>
      </w:pPr>
      <w:r>
        <w:rPr>
          <w:color w:val="14213D"/>
          <w:sz w:val="20"/>
        </w:rPr>
        <w:t>Ответчик: [ФИО, адрес, дата и место рождения — если известны, идентификатор]</w:t>
      </w:r>
    </w:p>
    <w:p>
      <w:pPr>
        <w:spacing w:after="40"/>
        <w:jc w:val="left"/>
      </w:pPr>
      <w:r>
        <w:rPr>
          <w:color w:val="14213D"/>
          <w:sz w:val="20"/>
        </w:rPr>
        <w:t>Третьи лица: [Росреестр / муниципалитет — при необходимости]</w:t>
      </w:r>
    </w:p>
    <w:p>
      <w:pPr>
        <w:spacing w:after="40"/>
        <w:jc w:val="left"/>
      </w:pPr>
      <w:r>
        <w:rPr>
          <w:color w:val="14213D"/>
          <w:sz w:val="20"/>
        </w:rPr>
        <w:t>Госпошлина: [расчёт по неимущественному требованию]</w:t>
      </w:r>
    </w:p>
    <w:p>
      <w:pPr>
        <w:pStyle w:val="Heading1"/>
      </w:pPr>
      <w:r>
        <w:t>ИСКОВОЕ ЗАЯВЛЕНИЕ ОБ УСТРАНЕНИИ ПРЕПЯТСТВИЙ В ПОЛЬЗОВАНИИ ЗЕМЕЛЬНЫМ УЧАСТКОМ</w:t>
      </w:r>
    </w:p>
    <w:p>
      <w:pPr>
        <w:pStyle w:val="Heading2"/>
      </w:pPr>
      <w:r>
        <w:t>ОПИСАТЕЛЬНАЯ ЧАСТЬ</w:t>
      </w:r>
    </w:p>
    <w:p>
      <w:r>
        <w:t>Истцу принадлежит участок [кадастровый номер]. Ответчик владеет соседним участком [номер]. Граница подтверждается [ЕГРН, межевой план, знаки].</w:t>
      </w:r>
    </w:p>
    <w:p>
      <w:r>
        <w:t>Ответчик установил [забор / объект], заняв полосу [описание, площадь, координаты]. Нарушение подтверждают [заключение, осмотр, фото]. Требование от [дата] не исполнено.</w:t>
      </w:r>
    </w:p>
    <w:p>
      <w:pPr>
        <w:pStyle w:val="Heading2"/>
      </w:pPr>
      <w:r>
        <w:t>МОТИВИРОВОЧНАЯ ЧАСТЬ</w:t>
      </w:r>
    </w:p>
    <w:p>
      <w:r>
        <w:t>Собственник вправе требовать устранения любого продолжающегося нарушения права. Суду нужно установить право, точное местоположение границы, факт и способ нарушения, а также исполнимый способ восстановления.</w:t>
      </w:r>
    </w:p>
    <w:p>
      <w:pPr>
        <w:pStyle w:val="Heading2"/>
      </w:pPr>
      <w:r>
        <w:t>РАСЧЁТ ТРЕБОВАНИЙ</w:t>
      </w:r>
    </w:p>
    <w:p>
      <w:r>
        <w:t>Требование неимущественное. Убытки [если заявляются] рассчитываются отдельно: [вид, период, формула, сумма]. Судебные расходы: [сумма].</w:t>
      </w:r>
    </w:p>
    <w:p>
      <w:pPr>
        <w:pStyle w:val="Heading2"/>
      </w:pPr>
      <w:r>
        <w:t>ПРОСИТЕЛЬНАЯ ЧАСТЬ</w:t>
      </w:r>
    </w:p>
    <w:p>
      <w:pPr>
        <w:pStyle w:val="ListNumber"/>
        <w:numPr>
          <w:ilvl w:val="0"/>
          <w:numId w:val="10"/>
        </w:numPr>
      </w:pPr>
      <w:r>
        <w:t>Обязать ответчика в течение [срок] демонтировать / перенести [объект] за пределы участка истца согласно координатам [приложение].</w:t>
      </w:r>
    </w:p>
    <w:p>
      <w:pPr>
        <w:pStyle w:val="ListNumber"/>
        <w:numPr>
          <w:ilvl w:val="0"/>
          <w:numId w:val="10"/>
        </w:numPr>
      </w:pPr>
      <w:r>
        <w:t>Обязать восстановить межевые знаки / привести участок в прежнее состояние [конкретные действия].</w:t>
      </w:r>
    </w:p>
    <w:p>
      <w:pPr>
        <w:pStyle w:val="ListNumber"/>
        <w:numPr>
          <w:ilvl w:val="0"/>
          <w:numId w:val="10"/>
        </w:numPr>
      </w:pPr>
      <w:r>
        <w:t>Запретить ответчику совершать [точно определённые действия] в спорной полосе — если сохраняется реальная угроза.</w:t>
      </w:r>
    </w:p>
    <w:p>
      <w:pPr>
        <w:pStyle w:val="ListNumber"/>
        <w:numPr>
          <w:ilvl w:val="0"/>
          <w:numId w:val="10"/>
        </w:numPr>
      </w:pPr>
      <w:r>
        <w:t>Взыскать доказанные убытки [сумма] руб. — если заявлены, и судебные расходы.</w:t>
      </w:r>
    </w:p>
    <w:p>
      <w:pPr>
        <w:pStyle w:val="ListNumber"/>
        <w:numPr>
          <w:ilvl w:val="0"/>
          <w:numId w:val="10"/>
        </w:numPr>
      </w:pPr>
      <w:r>
        <w:t>Назначить землеустроительную экспертизу по отдельному ходатайству при споре о координатах.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color w:val="14213D"/>
              </w:rPr>
              <w:t>Просительная часть должна позволять приставу понять, что, где и в какой срок переносить. Не соединяйте механически негаторный иск с исправлением реестровой ошибки.</w:t>
            </w:r>
          </w:p>
        </w:tc>
      </w:tr>
    </w:tbl>
    <w:p>
      <w:pPr>
        <w:pStyle w:val="Heading2"/>
      </w:pPr>
      <w:r>
        <w:t>Приложения</w:t>
      </w:r>
    </w:p>
    <w:p>
      <w:pPr>
        <w:pStyle w:val="ListBullet"/>
        <w:numPr>
          <w:ilvl w:val="0"/>
          <w:numId w:val="11"/>
        </w:numPr>
      </w:pPr>
      <w:r>
        <w:t>доказательство направления иска;</w:t>
      </w:r>
    </w:p>
    <w:p>
      <w:pPr>
        <w:pStyle w:val="ListBullet"/>
        <w:numPr>
          <w:ilvl w:val="0"/>
          <w:numId w:val="11"/>
        </w:numPr>
      </w:pPr>
      <w:r>
        <w:t>выписки ЕГРН;</w:t>
      </w:r>
    </w:p>
    <w:p>
      <w:pPr>
        <w:pStyle w:val="ListBullet"/>
        <w:numPr>
          <w:ilvl w:val="0"/>
          <w:numId w:val="11"/>
        </w:numPr>
      </w:pPr>
      <w:r>
        <w:t>межевой план и схема координат;</w:t>
      </w:r>
    </w:p>
    <w:p>
      <w:pPr>
        <w:pStyle w:val="ListBullet"/>
        <w:numPr>
          <w:ilvl w:val="0"/>
          <w:numId w:val="11"/>
        </w:numPr>
      </w:pPr>
      <w:r>
        <w:t>заключение кадастрового инженера;</w:t>
      </w:r>
    </w:p>
    <w:p>
      <w:pPr>
        <w:pStyle w:val="ListBullet"/>
        <w:numPr>
          <w:ilvl w:val="0"/>
          <w:numId w:val="11"/>
        </w:numPr>
      </w:pPr>
      <w:r>
        <w:t>фото и осмотры;</w:t>
      </w:r>
    </w:p>
    <w:p>
      <w:pPr>
        <w:pStyle w:val="ListBullet"/>
        <w:numPr>
          <w:ilvl w:val="0"/>
          <w:numId w:val="11"/>
        </w:numPr>
      </w:pPr>
      <w:r>
        <w:t>требование и вручение;</w:t>
      </w:r>
    </w:p>
    <w:p>
      <w:pPr>
        <w:pStyle w:val="ListBullet"/>
        <w:numPr>
          <w:ilvl w:val="0"/>
          <w:numId w:val="11"/>
        </w:numPr>
      </w:pPr>
      <w:r>
        <w:t>расчёт убытков;</w:t>
      </w:r>
    </w:p>
    <w:p>
      <w:pPr>
        <w:pStyle w:val="ListBullet"/>
        <w:numPr>
          <w:ilvl w:val="0"/>
          <w:numId w:val="11"/>
        </w:numPr>
      </w:pPr>
      <w:r>
        <w:t>госпошлина;</w:t>
      </w:r>
    </w:p>
    <w:p>
      <w:pPr>
        <w:pStyle w:val="ListBullet"/>
        <w:numPr>
          <w:ilvl w:val="0"/>
          <w:numId w:val="11"/>
        </w:numPr>
      </w:pPr>
      <w:r>
        <w:t>ходатайство об экспертизе.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Правовая основа. </w:t>
            </w:r>
            <w:r>
              <w:rPr>
                <w:color w:val="14213D"/>
              </w:rPr>
              <w:t>статьи 209, 304–305 ГК РФ; статьи 11.9, 60, 64 ЗК РФ; статьи 30, 56–57, 79–80, 131–132 ГПК РФ.</w:t>
            </w:r>
          </w:p>
        </w:tc>
      </w:tr>
    </w:tbl>
    <w:p>
      <w:pPr>
        <w:spacing w:before="200"/>
      </w:pPr>
      <w:r>
        <w:t>Дата: «___» __________ 20__ г.        Подпись: ____________ / [ФИО] /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676767"/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  <w:pBdr>
        <w:bottom w:val="single" w:sz="6" w:space="2" w:color="B88A3B"/>
      </w:pBdr>
    </w:pPr>
    <w:r>
      <w:rPr>
        <w:rFonts w:ascii="Calibri" w:hAnsi="Calibri"/>
        <w:color w:val="676767"/>
        <w:sz w:val="17"/>
      </w:rPr>
      <w:t>Юристы в джинсах • статья №259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0">
    <w:abstractNumId w:val="9"/>
  </w:num>
  <w:abstractNum w:abstractNumId="10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4213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8F2B2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8F2B2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6E211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umentTitle">
    <w:name w:val="Document Title"/>
    <w:pPr>
      <w:keepNext/>
      <w:spacing w:before="0" w:after="160"/>
    </w:pPr>
    <w:rPr>
      <w:rFonts w:ascii="Calibri" w:hAnsi="Calibri"/>
      <w:b/>
      <w:color w:val="8F2B24"/>
      <w:sz w:val="44"/>
    </w:rPr>
  </w:style>
  <w:style w:type="paragraph" w:customStyle="1" w:styleId="SmallNote">
    <w:name w:val="Small Note"/>
    <w:pPr>
      <w:spacing w:after="80" w:line="276" w:lineRule="auto"/>
    </w:pPr>
    <w:rPr>
      <w:rFonts w:ascii="Calibri" w:hAnsi="Calibri"/>
      <w:color w:val="676767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