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устранении препятствий в пользовании общим имуществом из-за захламления</w:t>
      </w:r>
    </w:p>
    <w:p>
      <w:pPr>
        <w:pStyle w:val="SmallNote"/>
      </w:pPr>
      <w:r>
        <w:t>Категория: Иски  •  Статья сайта: №238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Владелец вещей установлен, нарушение продолжается после требований, а размещение предметов мешает пользованию общим имуществом или создаёт подтверждённую угрозу.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месту нахождения дома/ответчика — проверить подсудность требования]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 владельца вещей, адрес, идентификатор — если известен]</w:t>
      </w:r>
    </w:p>
    <w:p>
      <w:pPr>
        <w:spacing w:after="40"/>
        <w:jc w:val="left"/>
      </w:pPr>
      <w:r>
        <w:rPr>
          <w:color w:val="14213D"/>
          <w:sz w:val="20"/>
        </w:rPr>
        <w:t>Третье лицо/соответчик: [УК — только при самостоятельном основании]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по неимущественному требованию]</w:t>
      </w:r>
    </w:p>
    <w:p>
      <w:pPr>
        <w:pStyle w:val="Heading1"/>
      </w:pPr>
      <w:r>
        <w:t>ИСКОВОЕ ЗАЯВЛЕНИЕ ОБ УСТРАНЕНИИ ПРЕПЯТСТВИЙ В ПОЛЬЗОВАНИИ ОБЩИМ ИМУЩЕСТВОМ</w:t>
      </w:r>
    </w:p>
    <w:p>
      <w:pPr>
        <w:pStyle w:val="Heading2"/>
      </w:pPr>
      <w:r>
        <w:t>ОПИСАТЕЛЬНАЯ ЧАСТЬ</w:t>
      </w:r>
    </w:p>
    <w:p>
      <w:r>
        <w:t>Истец владеет помещением [номер] в доме [адрес]. Площадка/коридор [описание] относится к общему имуществу. Ответчик с [дата] хранит там [точный перечень].</w:t>
      </w:r>
    </w:p>
    <w:p>
      <w:r>
        <w:t>Предметы препятствуют [проходу, уборке, открыванию двери, доступу к оборудованию]. Нарушение подтверждают [акты, замеры, фото, предписание]. Требования от [даты] не исполнены.</w:t>
      </w:r>
    </w:p>
    <w:p>
      <w:pPr>
        <w:pStyle w:val="Heading2"/>
      </w:pPr>
      <w:r>
        <w:t>МОТИВИРОВОЧНАЯ ЧАСТЬ</w:t>
      </w:r>
    </w:p>
    <w:p>
      <w:r>
        <w:t>Собственники помещений владеют общим имуществом на праве общей долевой собственности и вправе требовать устранения продолжающегося нарушения. Способ исполнения должен точно определять участок, предметы, действия и срок.</w:t>
      </w:r>
    </w:p>
    <w:p>
      <w:pPr>
        <w:pStyle w:val="Heading2"/>
      </w:pPr>
      <w:r>
        <w:t>РАСЧЁТ ТРЕБОВАНИЙ</w:t>
      </w:r>
    </w:p>
    <w:p>
      <w:r>
        <w:t>Требование неимущественное. Подтверждённые убытки [если заявляются] рассчитываются отдельно: [вид, причинная связь, сумма]. Судебные расходы: [сумма].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Обязать ответчика в срок [срок] удалить с участка общего имущества [исчерпывающий перечень предметов] и не чинить препятствий в его использовании.</w:t>
      </w:r>
    </w:p>
    <w:p>
      <w:pPr>
        <w:pStyle w:val="ListNumber"/>
        <w:numPr>
          <w:ilvl w:val="0"/>
          <w:numId w:val="10"/>
        </w:numPr>
      </w:pPr>
      <w:r>
        <w:t>Обязать восстановить свободный доступ к [двери/шкафу/проходу] до состояния, указанного в акте/схеме [реквизиты].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 [сумма] руб. — если заявлены.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УК не включается соответчиком только потому, что дом у неё в управлении. Для требования к УК отдельно опишите её обязанность, заявки и конкретное бездействие.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госпошлина;</w:t>
      </w:r>
    </w:p>
    <w:p>
      <w:pPr>
        <w:pStyle w:val="ListBullet"/>
        <w:numPr>
          <w:ilvl w:val="0"/>
          <w:numId w:val="11"/>
        </w:numPr>
      </w:pPr>
      <w:r>
        <w:t>документы на помещение;</w:t>
      </w:r>
    </w:p>
    <w:p>
      <w:pPr>
        <w:pStyle w:val="ListBullet"/>
        <w:numPr>
          <w:ilvl w:val="0"/>
          <w:numId w:val="11"/>
        </w:numPr>
      </w:pPr>
      <w:r>
        <w:t>план и документы об общем имуществе;</w:t>
      </w:r>
    </w:p>
    <w:p>
      <w:pPr>
        <w:pStyle w:val="ListBullet"/>
        <w:numPr>
          <w:ilvl w:val="0"/>
          <w:numId w:val="11"/>
        </w:numPr>
      </w:pPr>
      <w:r>
        <w:t>акты УК/надзора;</w:t>
      </w:r>
    </w:p>
    <w:p>
      <w:pPr>
        <w:pStyle w:val="ListBullet"/>
        <w:numPr>
          <w:ilvl w:val="0"/>
          <w:numId w:val="11"/>
        </w:numPr>
      </w:pPr>
      <w:r>
        <w:t>фото, видео и замеры;</w:t>
      </w:r>
    </w:p>
    <w:p>
      <w:pPr>
        <w:pStyle w:val="ListBullet"/>
        <w:numPr>
          <w:ilvl w:val="0"/>
          <w:numId w:val="11"/>
        </w:numPr>
      </w:pPr>
      <w:r>
        <w:t>требования и доказательства вручения;</w:t>
      </w:r>
    </w:p>
    <w:p>
      <w:pPr>
        <w:pStyle w:val="ListBullet"/>
        <w:numPr>
          <w:ilvl w:val="0"/>
          <w:numId w:val="11"/>
        </w:numPr>
      </w:pPr>
      <w:r>
        <w:t>расчёт убытков;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12, 15, 209, 247, 290 и 304 ГК РФ; статьи 36, 44, 161 и 162 ЖК РФ; Постановления Правительства РФ № 491 и № 1479; статьи 28–30, 56–57, 88, 94, 98, 100, 131–132 ГПК РФ;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