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 (СНИЛС/ИНН/паспорт и т.п.):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[полное наименование работодателя]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истец-работник освобожден по подп. 1 п. 1 ст. 333.36 НК РФ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об оспаривании прекращения трудового договора с дистанционным работником по ч. 2 ст. 312.8 ТК РФ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Истец выполнял трудовую функцию дистанционно на постоянной основе по договору от [___]. После изменения местности выполнения работы на [___] Ответчик приказом от [___] прекратил договор по ч. 2 ст. 312.8 ТК РФ. Истец полагает увольнение незаконным, поскольку [работа фактически продолжалась / техническая и организационная возможность сохранялась / конкретная невозможность не доказана / основание указано неверно / нарушена процедура].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Ч. 2 ст. 312.8 ТК РФ допускает прекращение договора с постоянным дистанционным работником при изменении местности лишь тогда, когда это влечет невозможность исполнения обязанностей на прежних условиях. Ст. 312.3 ТК РФ регулирует порядок документированного взаимодействия. Если с приказом знакомили электронно, бумажная копия должна быть направлена заказным письмом в течение трех рабочих дней. При признании увольнения незаконным применяются последствия ст. 394 ТК РФ. При этом суд оценивает и актуальную позицию органов труда о рисках работы из-за границы; сам по себе данный иск не гарантирует восстановление.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Признать незаконным приказ о прекращении трудового договора от [___] N [___].</w:t>
      </w:r>
    </w:p>
    <w:p>
      <w:pPr>
        <w:spacing w:after="24" w:before="0" w:line="230" w:lineRule="auto"/>
        <w:ind w:left="244" w:hanging="159"/>
      </w:pPr>
      <w:r>
        <w:t>2. Восстановить Истца на работе [если способ защиты фактически исполним и заявляется].</w:t>
      </w:r>
    </w:p>
    <w:p>
      <w:pPr>
        <w:spacing w:after="24" w:before="0" w:line="230" w:lineRule="auto"/>
        <w:ind w:left="244" w:hanging="159"/>
      </w:pPr>
      <w:r>
        <w:t>3. Взыскать средний заработок за время вынужденного прогула.</w:t>
      </w:r>
    </w:p>
    <w:p>
      <w:pPr>
        <w:spacing w:after="24" w:before="0" w:line="230" w:lineRule="auto"/>
        <w:ind w:left="244" w:hanging="159"/>
      </w:pPr>
      <w:r>
        <w:t>4. Обязать исправить сведения о трудовой деятельности.</w:t>
      </w:r>
    </w:p>
    <w:p>
      <w:pPr>
        <w:spacing w:after="24" w:before="0" w:line="230" w:lineRule="auto"/>
        <w:ind w:left="244" w:hanging="159"/>
      </w:pPr>
      <w:r>
        <w:t>5. Взыскать компенсацию морального вреда и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Трудовой договор и дополнительное соглашение о дистанционной работе.</w:t>
      </w:r>
    </w:p>
    <w:p>
      <w:pPr>
        <w:spacing w:after="24" w:before="0" w:line="230" w:lineRule="auto"/>
        <w:ind w:left="244" w:hanging="159"/>
      </w:pPr>
      <w:r>
        <w:t>2. Правила взаимодействия/локальные акты.</w:t>
      </w:r>
    </w:p>
    <w:p>
      <w:pPr>
        <w:spacing w:after="24" w:before="0" w:line="230" w:lineRule="auto"/>
        <w:ind w:left="244" w:hanging="159"/>
      </w:pPr>
      <w:r>
        <w:t>3. Переписка, отчеты, логи и доказательства фактического выполнения работы.</w:t>
      </w:r>
    </w:p>
    <w:p>
      <w:pPr>
        <w:spacing w:after="24" w:before="0" w:line="230" w:lineRule="auto"/>
        <w:ind w:left="244" w:hanging="159"/>
      </w:pPr>
      <w:r>
        <w:t>4. Приказ об увольнении и почтовые/электронные уведомления.</w:t>
      </w:r>
    </w:p>
    <w:p>
      <w:pPr>
        <w:spacing w:after="24" w:before="0" w:line="230" w:lineRule="auto"/>
        <w:ind w:left="244" w:hanging="159"/>
      </w:pPr>
      <w:r>
        <w:t>5. Сведения о заработке и расчет вынужденного прогула.</w:t>
      </w:r>
    </w:p>
    <w:p>
      <w:pPr>
        <w:spacing w:after="24" w:before="0" w:line="230" w:lineRule="auto"/>
        <w:ind w:left="244" w:hanging="159"/>
      </w:pPr>
      <w:r>
        <w:t>6. Доказательства направления иска ответчику.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Срок оспаривания увольнения - один месяц по ст. 392 ТК РФ. Перед подачей отдельно оцените иностранное право, миграционные и налоговые последствия фактической работы за рубежом.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