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(по месту нахождения участка)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Виндикационный иск об истребовании земельного участка из чужого незаконного владения</w:t>
      </w:r>
    </w:p>
    <w:p>
      <w:r>
        <w:t xml:space="preserve">Я являюсь собственником земельного участка [кадастровый номер] по адресу: [адрес].</w:t>
      </w:r>
    </w:p>
    <w:p>
      <w:r>
        <w:t xml:space="preserve">«___» ________ 20__ г. обнаружил(а), что Ответчик фактически владеет участком (использует его, возвёл постройки, не допускает меня) без законных оснований.</w:t>
      </w:r>
    </w:p>
    <w:p>
      <w:r>
        <w:t xml:space="preserve">Из владения Истца участок выбыл НЕ по его воле: [фактическая самовольная занятость / подлог документов / кадастровая ошибка, повлёкшая регистрацию Ответчика / самозахват].</w:t>
      </w:r>
    </w:p>
    <w:p>
      <w:r>
        <w:t xml:space="preserve">Ответчик не является добросовестным приобретателем (ст. 302 ГК РФ): [знал об отсутствии оснований / получил участок безвозмездно / не проверил документы].</w:t>
      </w:r>
    </w:p>
    <w:p>
      <w:r>
        <w:t xml:space="preserve">В соответствии со ст. 301 ГК РФ и ст. 60 ЗК РФ, собственник вправе истребовать имущество из чужого незаконного владения.</w:t>
      </w:r>
    </w:p>
    <w:p/>
    <w:p>
      <w:r>
        <w:t xml:space="preserve">На основании изложенного, руководствуясь ст. 301, 302, 303 ГК РФ, ст. 60 ЗК РФ,</w:t>
      </w:r>
    </w:p>
    <w:p>
      <w:r>
        <w:rPr>
          <w:b/>
          <w:bCs/>
        </w:rPr>
        <w:t xml:space="preserve">ПРОШУ:</w:t>
      </w:r>
    </w:p>
    <w:p>
      <w:r>
        <w:t xml:space="preserve">1. Истребовать из незаконного владения Ответчика земельный участок [кадастровый номер, адрес].</w:t>
      </w:r>
    </w:p>
    <w:p>
      <w:r>
        <w:t xml:space="preserve">2. Аннулировать запись в ЕГРН о праве Ответчика (если зарегистрирован).</w:t>
      </w:r>
    </w:p>
    <w:p>
      <w:r>
        <w:t xml:space="preserve">3. Взыскать с Ответчика доходы, извлечённые из участка за период владения (ст. 303 ГК РФ)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 на участок (право Истца)</w:t>
      </w:r>
    </w:p>
    <w:p>
      <w:r>
        <w:t xml:space="preserve">2. доказательства фактического владения Ответчика</w:t>
      </w:r>
    </w:p>
    <w:p>
      <w:r>
        <w:t xml:space="preserve">3. доказательства незаконности владения (акты, документы)</w:t>
      </w:r>
    </w:p>
    <w:p>
      <w:r>
        <w:t xml:space="preserve">4. расчёт доходов Ответчика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Виндикация земельного участка имеет особенности: земля — не движимая вещь, учитываются границы и кадастр.</w:t>
      </w:r>
    </w:p>
    <w:p>
      <w:r>
        <w:rPr>
          <w:i/>
          <w:iCs/>
          <w:sz w:val="18"/>
          <w:szCs w:val="18"/>
        </w:rPr>
        <w:t xml:space="preserve">• Добросовестный приобретатель защищён только если участок выбыл из владения Истца по его воле (ст. 302 ГК РФ).</w:t>
      </w:r>
    </w:p>
    <w:p>
      <w:r>
        <w:rPr>
          <w:i/>
          <w:iCs/>
          <w:sz w:val="18"/>
          <w:szCs w:val="18"/>
        </w:rPr>
        <w:t xml:space="preserve">• При самозахвате (ст. 7.1 КоАП РФ) параллельно — жалоба в Росреестр и прокуратуру.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кадастровой стоимости.</w:t>
      </w:r>
    </w:p>
    <w:p>
      <w:r>
        <w:rPr>
          <w:i/>
          <w:iCs/>
          <w:sz w:val="18"/>
          <w:szCs w:val="18"/>
        </w:rPr>
        <w:t xml:space="preserve">• Связанные документы: [isk-vindikaciya-imushchestva]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2026-08-22T06:27:18.094Z</dcterms:created>
  <dcterms:modified xsi:type="dcterms:W3CDTF">2026-08-22T06:27:18.094Z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