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водителю о взыскании ущерба автомобилю, добровольно переданному для поездки</w:t>
      </w:r>
    </w:p>
    <w:p>
      <w:pPr>
        <w:spacing w:after="200"/>
      </w:pPr>
      <w:r>
        <w:rPr>
          <w:b/>
          <w:color w:val="676767"/>
        </w:rPr>
        <w:t>Категория: Иски  •  Статья сайта: №502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Водитель не возместил повреждение автомобиля собственника добровольно. Иск строится на доказанной вине водителя, размере ущерба и связи повреждений с конкретным ДТП; потребительские штрафы и неустойки здесь не применяются.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[мировому судье / районный суд — по цене иска и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водителя, адрес, дата и место рождения — если известны]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   Госпошлина: [сумма] руб.</w:t>
      </w:r>
    </w:p>
    <w:p>
      <w:pPr>
        <w:pStyle w:val="Heading1"/>
      </w:pPr>
      <w:r>
        <w:t>ИСКОВОЕ ЗАЯВЛЕНИЕ О ВОЗМЕЩЕНИИ УЩЕРБА АВТОМОБИЛЮ</w:t>
      </w:r>
    </w:p>
    <w:p>
      <w:r>
        <w:t>Я являюсь собственником автомобиля [марка, модель, VIN, госномер], что подтверждается [ПТС / СТС / договор]. [Дата] автомобиль был добровольно передан ответчику для [цель и срок] в исправном состоянии.</w:t>
      </w:r>
    </w:p>
    <w:p>
      <w:r>
        <w:t>При управлении ответчиком произошло ДТП [место и обстоятельства]. Вина ответчика и причинная связь подтверждаются [материалы ДТП, судебный акт, объяснения, видео]. В результате автомобиль повреждён: [перечень].</w:t>
      </w:r>
    </w:p>
    <w:p>
      <w:r>
        <w:t>Стоимость восстановления по [оценка / заключение / заказ-наряд] составляет [сумма] руб. Расходы на эвакуацию, хранение и оценку — [сумма] руб. Полученное страховое или иное возмещение — [сумма]. Невозмещённый ущерб и цена иска составляют [сумма] руб.</w:t>
      </w:r>
    </w:p>
    <w:p>
      <w:r>
        <w:t>Претензия от [дата] получена ответчиком [дата] и [оставлена без ответа / отклонена / исполнена частично].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 ответчика реальный ущерб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расходы на эвакуацию, хранение и оценку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расходы, включая госпошлину и расходы на представителя, в подтверждённом и разумном размере.</w:t>
      </w:r>
    </w:p>
    <w:p>
      <w:pPr>
        <w:pStyle w:val="ListNumber"/>
        <w:numPr>
          <w:ilvl w:val="0"/>
          <w:numId w:val="10"/>
        </w:numPr>
      </w:pPr>
      <w:r>
        <w:t>При споре о повреждениях или стоимости назначить судебную автотехническую / оценочную экспертизу и поставить перед экспертом вопросы: [перечень].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собственника и водителя автоматически солидарными должниками. В этом иске собственник требует ущерб своей машине с фактического водителя; требования потерпевших и страховщика рассматриваются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иска для участников;</w:t>
      </w:r>
    </w:p>
    <w:p>
      <w:pPr>
        <w:pStyle w:val="ListBullet"/>
        <w:numPr>
          <w:ilvl w:val="0"/>
          <w:numId w:val="11"/>
        </w:numPr>
      </w:pPr>
      <w:r>
        <w:t>документы о собственности и передаче автомобиля;</w:t>
      </w:r>
    </w:p>
    <w:p>
      <w:pPr>
        <w:pStyle w:val="ListBullet"/>
        <w:numPr>
          <w:ilvl w:val="0"/>
          <w:numId w:val="11"/>
        </w:numPr>
      </w:pPr>
      <w:r>
        <w:t>материалы ДТП и доказательства вины;</w:t>
      </w:r>
    </w:p>
    <w:p>
      <w:pPr>
        <w:pStyle w:val="ListBullet"/>
        <w:numPr>
          <w:ilvl w:val="0"/>
          <w:numId w:val="11"/>
        </w:numPr>
      </w:pPr>
      <w:r>
        <w:t>фото, акт осмотра, оценка или заказ-наряд;</w:t>
      </w:r>
    </w:p>
    <w:p>
      <w:pPr>
        <w:pStyle w:val="ListBullet"/>
        <w:numPr>
          <w:ilvl w:val="0"/>
          <w:numId w:val="11"/>
        </w:numPr>
      </w:pPr>
      <w:r>
        <w:t>платёжные документы и расчёт цены иска;</w:t>
      </w:r>
    </w:p>
    <w:p>
      <w:pPr>
        <w:pStyle w:val="ListBullet"/>
        <w:numPr>
          <w:ilvl w:val="0"/>
          <w:numId w:val="11"/>
        </w:numPr>
      </w:pPr>
      <w:r>
        <w:t>претензия и доказательство её направления;</w:t>
      </w:r>
    </w:p>
    <w:p>
      <w:pPr>
        <w:pStyle w:val="ListBullet"/>
        <w:numPr>
          <w:ilvl w:val="0"/>
          <w:numId w:val="11"/>
        </w:numPr>
      </w:pPr>
      <w:r>
        <w:t>квитанция госпошлины;</w:t>
      </w:r>
    </w:p>
    <w:p>
      <w:pPr>
        <w:pStyle w:val="ListBullet"/>
        <w:numPr>
          <w:ilvl w:val="0"/>
          <w:numId w:val="11"/>
        </w:numPr>
      </w:pPr>
      <w:r>
        <w:t>доверенность и документы о судебных расходах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 и 1082 ГК РФ; статьи 23, 24, 28, 56, 98, 100, 131–132 ГПК РФ; статья 333.19 НК РФ. Подсудность и госпошлина определяются по цене иска и актуальным данным на дату подачи.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