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о возвращении ребёнка на основании международного договора РФ</w:t>
      </w:r>
    </w:p>
    <w:p>
      <w:pPr>
        <w:spacing w:after="40"/>
      </w:pPr>
      <w:r>
        <w:rPr>
          <w:b/>
          <w:color w:val="676767"/>
        </w:rPr>
        <w:t>Категория: Иски  •  Статья сайта: №329</w:t>
      </w:r>
    </w:p>
    <w:p>
      <w:pPr>
        <w:spacing w:after="160"/>
      </w:pPr>
      <w:r>
        <w:rPr>
          <w:b/>
          <w:color w:val="676767"/>
          <w:sz w:val="19"/>
        </w:rPr>
        <w:t>Структура: ИСК ПО ГПК РФ: вводная • описательная • мотивировочная • просительная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Специальный судебный документ, когда ребёнок незаконно перемещён в Россию или удерживается в России, а применимый международный договор действует между Россией и государством обычного проживания ребёнка. Подсудность специальная, не по обычному месту жительства родителя.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[один из специальных районных судов по ч. 2 ст. 244.11 ГПК РФ]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дата и место рождения, идентификатор, контакты]</w:t>
      </w:r>
    </w:p>
    <w:p>
      <w:pPr>
        <w:spacing w:after="40"/>
        <w:jc w:val="left"/>
      </w:pPr>
      <w:r>
        <w:rPr>
          <w:color w:val="14213D"/>
          <w:sz w:val="20"/>
        </w:rPr>
        <w:t>Ответчик: [удерживающий родитель, известный адрес]</w:t>
      </w:r>
    </w:p>
    <w:p>
      <w:pPr>
        <w:spacing w:after="40"/>
        <w:jc w:val="left"/>
      </w:pPr>
      <w:r>
        <w:rPr>
          <w:color w:val="14213D"/>
          <w:sz w:val="20"/>
        </w:rPr>
        <w:t>Орган опеки: [наименование, адрес]</w:t>
      </w:r>
    </w:p>
    <w:p>
      <w:pPr>
        <w:spacing w:after="40"/>
        <w:jc w:val="left"/>
      </w:pPr>
      <w:r>
        <w:rPr>
          <w:color w:val="14213D"/>
          <w:sz w:val="20"/>
        </w:rPr>
        <w:t>Прокурор: [по месту суда]</w:t>
      </w:r>
    </w:p>
    <w:p>
      <w:pPr>
        <w:spacing w:after="40"/>
        <w:jc w:val="left"/>
      </w:pPr>
      <w:r>
        <w:rPr>
          <w:color w:val="14213D"/>
          <w:sz w:val="20"/>
        </w:rPr>
        <w:t>Ребёнок: [ФИО, дата рождения, место пребывания]</w:t>
      </w:r>
    </w:p>
    <w:p>
      <w:pPr>
        <w:spacing w:after="40"/>
        <w:jc w:val="left"/>
      </w:pPr>
      <w:r>
        <w:rPr>
          <w:color w:val="14213D"/>
          <w:sz w:val="20"/>
        </w:rPr>
        <w:t>Госпошлина: [по действующей редакции НК РФ / льгота]</w:t>
      </w:r>
    </w:p>
    <w:p>
      <w:pPr>
        <w:pStyle w:val="Heading1"/>
      </w:pPr>
      <w:r>
        <w:t>ЗАЯВЛЕНИЕ О ВОЗВРАЩЕНИИ РЕБЁНКА НА ОСНОВАНИИ МЕЖДУНАРОДНОГО ДОГОВОРА РОССИЙСКОЙ ФЕДЕРАЦИИ</w:t>
      </w:r>
    </w:p>
    <w:p>
      <w:pPr>
        <w:pStyle w:val="Heading2"/>
      </w:pPr>
      <w:r>
        <w:t>ОПИСАТЕЛЬНАЯ ЧАСТЬ</w:t>
      </w:r>
    </w:p>
    <w:p>
      <w:r>
        <w:t>До [дата] ребёнок постоянно проживал в [государство, адрес], посещал [сад / школу], получал медицинскую помощь и имел устойчивые социальные связи. Права опеки истца следуют из [закон / решение / соглашение] и фактически осуществлялись.</w:t>
      </w:r>
    </w:p>
    <w:p>
      <w:r>
        <w:t>[Дата] ответчик [переместил ребёнка в РФ / не возвратил после согласованной поездки] без согласия истца сверх разрешённого срока [дата]. Место пребывания ребёнка в России: [адрес / последние сведения].</w:t>
      </w:r>
    </w:p>
    <w:p>
      <w:r>
        <w:t>Между Россией и государством обычного проживания применим [название международного договора]. Требование предъявляется именно на основании этого договора; обращение в центральный орган подано [дата] / не является препятствием для обращения в суд.</w:t>
      </w:r>
    </w:p>
    <w:p>
      <w:pPr>
        <w:pStyle w:val="Heading2"/>
      </w:pPr>
      <w:r>
        <w:t>МОТИВИРОВОЧНАЯ ЧАСТЬ</w:t>
      </w:r>
    </w:p>
    <w:p>
      <w:r>
        <w:t>Специальное производство направлено на незамедлительное возвращение ребёнка в государство обычного проживания и не разрешает по существу спор о том, с кем ребёнок должен жить постоянно. Возражения и исключения из обязанности возврата оцениваются только в пределах международного договора.</w:t>
      </w:r>
    </w:p>
    <w:p>
      <w:pPr>
        <w:pStyle w:val="Heading2"/>
      </w:pPr>
      <w:r>
        <w:t>ПРОСИТЕЛЬНАЯ ЧАСТЬ</w:t>
      </w:r>
    </w:p>
    <w:p>
      <w:r>
        <w:t>На основании применимого международного договора, статей 244.11–244.19 и 131–132 ГПК РФ ПРОШУ:</w:t>
      </w:r>
    </w:p>
    <w:p>
      <w:pPr>
        <w:pStyle w:val="ListNumber"/>
        <w:numPr>
          <w:ilvl w:val="0"/>
          <w:numId w:val="10"/>
        </w:numPr>
      </w:pPr>
      <w:r>
        <w:t>Обязать ответчика возвратить ребёнка [ФИО, дата рождения] в [государство] в установленный судом срок и порядке.</w:t>
      </w:r>
    </w:p>
    <w:p>
      <w:pPr>
        <w:pStyle w:val="ListNumber"/>
        <w:numPr>
          <w:ilvl w:val="0"/>
          <w:numId w:val="10"/>
        </w:numPr>
      </w:pPr>
      <w:r>
        <w:t>Указать в решении порядок передачи ребёнка, необходимые документы и распределение подтверждённых расходов в пределах закона и международного договора.</w:t>
      </w:r>
    </w:p>
    <w:p>
      <w:pPr>
        <w:pStyle w:val="ListNumber"/>
        <w:numPr>
          <w:ilvl w:val="0"/>
          <w:numId w:val="10"/>
        </w:numPr>
      </w:pPr>
      <w:r>
        <w:t>Истребовать сведения о регистрации, пересечении границы, обучении и месте пребывания ребёнка, если их невозможно получить самостоятельно.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соединяйте это требование с иском о месте жительства ребёнка, алиментах или разделе имущества: статья 244.14 ГПК РФ запрещает такое соединение.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подтверждения направления заявления участникам;</w:t>
      </w:r>
    </w:p>
    <w:p>
      <w:pPr>
        <w:pStyle w:val="ListBullet"/>
        <w:numPr>
          <w:ilvl w:val="0"/>
          <w:numId w:val="11"/>
        </w:numPr>
      </w:pPr>
      <w:r>
        <w:t>свидетельство о рождении и документы о родстве;</w:t>
      </w:r>
    </w:p>
    <w:p>
      <w:pPr>
        <w:pStyle w:val="ListBullet"/>
        <w:numPr>
          <w:ilvl w:val="0"/>
          <w:numId w:val="11"/>
        </w:numPr>
      </w:pPr>
      <w:r>
        <w:t>документы о правах опеки;</w:t>
      </w:r>
    </w:p>
    <w:p>
      <w:pPr>
        <w:pStyle w:val="ListBullet"/>
        <w:numPr>
          <w:ilvl w:val="0"/>
          <w:numId w:val="11"/>
        </w:numPr>
      </w:pPr>
      <w:r>
        <w:t>доказательства обычного проживания ребёнка;</w:t>
      </w:r>
    </w:p>
    <w:p>
      <w:pPr>
        <w:pStyle w:val="ListBullet"/>
        <w:numPr>
          <w:ilvl w:val="0"/>
          <w:numId w:val="11"/>
        </w:numPr>
      </w:pPr>
      <w:r>
        <w:t>согласие на поездку и согласованный срок возврата;</w:t>
      </w:r>
    </w:p>
    <w:p>
      <w:pPr>
        <w:pStyle w:val="ListBullet"/>
        <w:numPr>
          <w:ilvl w:val="0"/>
          <w:numId w:val="11"/>
        </w:numPr>
      </w:pPr>
      <w:r>
        <w:t>переписка и требование о возврате;</w:t>
      </w:r>
    </w:p>
    <w:p>
      <w:pPr>
        <w:pStyle w:val="ListBullet"/>
        <w:numPr>
          <w:ilvl w:val="0"/>
          <w:numId w:val="11"/>
        </w:numPr>
      </w:pPr>
      <w:r>
        <w:t>сведения о перемещении и месте пребывания;</w:t>
      </w:r>
    </w:p>
    <w:p>
      <w:pPr>
        <w:pStyle w:val="ListBullet"/>
        <w:numPr>
          <w:ilvl w:val="0"/>
          <w:numId w:val="11"/>
        </w:numPr>
      </w:pPr>
      <w:r>
        <w:t>переводы иностранных документов;</w:t>
      </w:r>
    </w:p>
    <w:p>
      <w:pPr>
        <w:pStyle w:val="ListBullet"/>
        <w:numPr>
          <w:ilvl w:val="0"/>
          <w:numId w:val="11"/>
        </w:numPr>
      </w:pPr>
      <w:r>
        <w:t>подтверждение применимости международного договора;</w:t>
      </w:r>
    </w:p>
    <w:p>
      <w:pPr>
        <w:pStyle w:val="ListBullet"/>
        <w:numPr>
          <w:ilvl w:val="0"/>
          <w:numId w:val="11"/>
        </w:numPr>
      </w:pPr>
      <w:r>
        <w:t>обращение в центральный орган — при наличии;</w:t>
      </w:r>
    </w:p>
    <w:p>
      <w:pPr>
        <w:pStyle w:val="ListBullet"/>
        <w:numPr>
          <w:ilvl w:val="0"/>
          <w:numId w:val="11"/>
        </w:numPr>
      </w:pPr>
      <w:r>
        <w:t>документ о госпошлине / льготе.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применимый международный договор РФ; статьи 244.11–244.19, 131–132, 56–57 ГПК РФ; статьи 61, 65 и 68 СК РФ — в применимой части.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№329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