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возврате обеспечительного платежа по договору найма квартиры</w:t>
      </w:r>
    </w:p>
    <w:p>
      <w:pPr>
        <w:spacing w:after="40"/>
      </w:pPr>
      <w:r>
        <w:rPr>
          <w:b/>
          <w:color w:val="676767"/>
        </w:rPr>
        <w:t>Категория: Иски  •  Статья сайта: №303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неисполнения претензии. Если наймодатель — обычное физлицо, не применяются автоматически штраф и моральный вред по ЗоЗПП.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Мировому судье при цене иска до 50 000 руб. / в районный суд — если выше</w:t>
      </w:r>
    </w:p>
    <w:p>
      <w:pPr>
        <w:spacing w:after="40"/>
        <w:jc w:val="left"/>
      </w:pPr>
      <w:r>
        <w:rPr>
          <w:color w:val="14213D"/>
          <w:sz w:val="20"/>
        </w:rPr>
        <w:t>Истец: [реквизиты по ст.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[наймодатель, адрес,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Цена иска: [платёж + проценты ко дню подачи]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по действующей редакции НК РФ]</w:t>
      </w:r>
    </w:p>
    <w:p>
      <w:pPr>
        <w:pStyle w:val="Heading1"/>
      </w:pPr>
      <w:r>
        <w:t>ИСКОВОЕ ЗАЯВЛЕНИЕ О ВОЗВРАТЕ ОБЕСПЕЧИТЕЛЬНОГО ПЛАТЕЖА</w:t>
      </w:r>
    </w:p>
    <w:p>
      <w:pPr>
        <w:pStyle w:val="Heading2"/>
      </w:pPr>
      <w:r>
        <w:t>ОПИСАТЕЛЬНАЯ ЧАСТЬ</w:t>
      </w:r>
    </w:p>
    <w:p>
      <w:r>
        <w:t>Договор найма [реквизиты] исполнен и прекращён [дата]. Истец внёс [сумма] руб., передал квартиру и ключи по акту от [дата]. Долг [отсутствует / сумма].</w:t>
      </w:r>
    </w:p>
    <w:p>
      <w:r>
        <w:t>Ответчик удержал [сумма] руб., не доказав наступление условия зачёта и размер потерь. Претензия от [дата] не исполнена. Проценты по ст. 395 ГК РФ на [дата] — [сумма] руб.</w:t>
      </w:r>
    </w:p>
    <w:p>
      <w:pPr>
        <w:pStyle w:val="Heading2"/>
      </w:pPr>
      <w:r>
        <w:t>МОТИВИРОВОЧНАЯ ЧАСТЬ</w:t>
      </w:r>
    </w:p>
    <w:p>
      <w:r>
        <w:t>По ст. 381.1 ГК РФ обеспечительный платёж зачитывается при наступлении условий договора. При их отсутствии или прекращении обеспеченного обязательства платёж возвращается, если иное не согласовано.</w:t>
      </w:r>
    </w:p>
    <w:p>
      <w:pPr>
        <w:pStyle w:val="Heading2"/>
      </w:pPr>
      <w:r>
        <w:t>ПРОСИТЕЛЬНАЯ ЧАСТЬ</w:t>
      </w:r>
    </w:p>
    <w:p>
      <w:r>
        <w:t>Руководствуясь статьями 309–310, 314, 381.1, 395, 1102, 1107 ГК РФ, статьями 23–24, 28, 56, 91, 131–132 ГПК РФ, ПРОШУ:</w:t>
      </w:r>
    </w:p>
    <w:p>
      <w:pPr>
        <w:pStyle w:val="ListNumber"/>
        <w:numPr>
          <w:ilvl w:val="0"/>
          <w:numId w:val="10"/>
        </w:numPr>
      </w:pPr>
      <w:r>
        <w:t>Взыскать с ответчика обеспечительный платёж [сумма] руб.</w:t>
      </w:r>
    </w:p>
    <w:p>
      <w:pPr>
        <w:pStyle w:val="ListNumber"/>
        <w:numPr>
          <w:ilvl w:val="0"/>
          <w:numId w:val="10"/>
        </w:numPr>
      </w:pPr>
      <w:r>
        <w:t>Взыскать проценты за пользование чужими деньгами за период [даты] в сумме [сумма] руб. с дальнейшим начислением по день оплаты.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[перечень, 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наймодатель докажет конкретный ущерб и право на зачёт, суд может уменьшить возвращаемую сумму. Обычный износ и недоказанная смета не равны ущербу.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направление копии иска;</w:t>
      </w:r>
    </w:p>
    <w:p>
      <w:pPr>
        <w:pStyle w:val="ListBullet"/>
        <w:numPr>
          <w:ilvl w:val="0"/>
          <w:numId w:val="11"/>
        </w:numPr>
      </w:pPr>
      <w:r>
        <w:t>договор и платёж;</w:t>
      </w:r>
    </w:p>
    <w:p>
      <w:pPr>
        <w:pStyle w:val="ListBullet"/>
        <w:numPr>
          <w:ilvl w:val="0"/>
          <w:numId w:val="11"/>
        </w:numPr>
      </w:pPr>
      <w:r>
        <w:t>акт возврата;</w:t>
      </w:r>
    </w:p>
    <w:p>
      <w:pPr>
        <w:pStyle w:val="ListBullet"/>
        <w:numPr>
          <w:ilvl w:val="0"/>
          <w:numId w:val="11"/>
        </w:numPr>
      </w:pPr>
      <w:r>
        <w:t>фото и переписка;</w:t>
      </w:r>
    </w:p>
    <w:p>
      <w:pPr>
        <w:pStyle w:val="ListBullet"/>
        <w:numPr>
          <w:ilvl w:val="0"/>
          <w:numId w:val="11"/>
        </w:numPr>
      </w:pPr>
      <w:r>
        <w:t>претензия и доставка;</w:t>
      </w:r>
    </w:p>
    <w:p>
      <w:pPr>
        <w:pStyle w:val="ListBullet"/>
        <w:numPr>
          <w:ilvl w:val="0"/>
          <w:numId w:val="11"/>
        </w:numPr>
      </w:pPr>
      <w:r>
        <w:t>расчёт процентов и цены иска;</w:t>
      </w:r>
    </w:p>
    <w:p>
      <w:pPr>
        <w:pStyle w:val="ListBullet"/>
        <w:numPr>
          <w:ilvl w:val="0"/>
          <w:numId w:val="11"/>
        </w:numPr>
      </w:pPr>
      <w:r>
        <w:t>документ о пошлине / льготе;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309–310, 314, 381.1, 395, 1102, 1107 ГК РФ; статьи 23–24, 28, 56, 91, 131–132 ГПК РФ;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