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вреда ребёнку, причинённого травлей в школе</w:t>
      </w:r>
    </w:p>
    <w:p>
      <w:pPr>
        <w:spacing w:after="40"/>
      </w:pPr>
      <w:r>
        <w:rPr>
          <w:b/>
          <w:color w:val="676767"/>
        </w:rPr>
        <w:t>Категория: Иски  •  Статья сайта: №281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законным представителем после определения возраста причинителя, места и времени эпизодов, роли школы и доказанного вреда. Ответчики меняются в зависимости от возраста и надзора.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[проверить территориальную подсудность по статьям 28–29 ГПК РФ]</w:t>
      </w:r>
    </w:p>
    <w:p>
      <w:pPr>
        <w:spacing w:after="40"/>
        <w:jc w:val="left"/>
      </w:pPr>
      <w:r>
        <w:rPr>
          <w:color w:val="14213D"/>
          <w:sz w:val="20"/>
        </w:rPr>
        <w:t>Истец: несовершеннолетний [ФИО, дата рождения] в лице законного представителя [все реквизиты]</w:t>
      </w:r>
    </w:p>
    <w:p>
      <w:pPr>
        <w:spacing w:after="40"/>
        <w:jc w:val="left"/>
      </w:pPr>
      <w:r>
        <w:rPr>
          <w:color w:val="14213D"/>
          <w:sz w:val="20"/>
        </w:rPr>
        <w:t>Ответчики: [школа; причинитель 14–18 лет; родители / опекуны — после правовой оценки]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[учредитель, орган опеки, страховщик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требования; моральный вред не включается]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[льгота по статье 333.36 НК РФ / проверка применимого основания]</w:t>
      </w:r>
    </w:p>
    <w:p>
      <w:pPr>
        <w:pStyle w:val="Heading1"/>
      </w:pPr>
      <w:r>
        <w:t>ИСКОВОЕ ЗАЯВЛЕНИЕ О ВОЗМЕЩЕНИИ ВРЕДА, ПРИЧИНЁННОГО НЕСОВЕРШЕННОЛЕТНЕМУ В ШКОЛЕ</w:t>
      </w:r>
    </w:p>
    <w:p>
      <w:pPr>
        <w:pStyle w:val="Heading2"/>
      </w:pPr>
      <w:r>
        <w:t>ОПИСАТЕЛЬНАЯ ЧАСТЬ</w:t>
      </w:r>
    </w:p>
    <w:p>
      <w:r>
        <w:t>Ребёнок обучается в [школа, класс]. В период [даты] в школе / под её надзором происходили повторные действия [конкретно]. Школа знала о них с [дата] из [обращения], но [не приняла достаточных мер].</w:t>
      </w:r>
    </w:p>
    <w:p>
      <w:r>
        <w:t>Причинены [телесные повреждения, заболевание, психологическое расстройство, порча вещей, расходы]. Диагноз и причинная связь подтверждаются [документы]. Расходы — [сумма], утраченные / повреждённые вещи — [сумма]. Нравственные страдания выражаются в [конкретно]. Претензии от [даты] не исполнены.</w:t>
      </w:r>
    </w:p>
    <w:p>
      <w:pPr>
        <w:pStyle w:val="Heading2"/>
      </w:pPr>
      <w:r>
        <w:t>МОТИВИРОВОЧНАЯ ЧАСТЬ</w:t>
      </w:r>
    </w:p>
    <w:p>
      <w:r>
        <w:t>За вред малолетнего до 14 лет во время нахождения под надзором образовательной организации она отвечает, если не докажет отсутствие своей вины; ответственность родителей и школы не возникает автоматически одновременно. Подросток 14–18 лет отвечает сам, а родители — в недостающей части при условиях статьи 1074 ГК РФ. Школа также отвечает за собственное виновное бездействие по статье 1064 ГК РФ.</w:t>
      </w:r>
    </w:p>
    <w:p>
      <w:pPr>
        <w:pStyle w:val="Heading2"/>
      </w:pPr>
      <w:r>
        <w:t>ПРОСИТЕЛЬНАЯ ЧАСТЬ</w:t>
      </w:r>
    </w:p>
    <w:p>
      <w:r>
        <w:t>На основании статей 150–152, 1064, 1073–1074, 1085–1094, 1099–1101 ГК РФ, статей 28, 34 и 41 Закона № 273-ФЗ, статей 24, 28–29, 56,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расходы на лечение, психологическую помощь и восстановление [сумма] руб.</w:t>
      </w:r>
    </w:p>
    <w:p>
      <w:pPr>
        <w:pStyle w:val="ListNumber"/>
        <w:numPr>
          <w:ilvl w:val="0"/>
          <w:numId w:val="10"/>
        </w:numPr>
      </w:pPr>
      <w:r>
        <w:t>Взыскать стоимость повреждённого имущества и иные доказанные убытки [сумма] руб.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 с ответчика / ответчиков, чья ответственность доказана.</w:t>
      </w:r>
    </w:p>
    <w:p>
      <w:pPr>
        <w:pStyle w:val="ListNumber"/>
        <w:numPr>
          <w:ilvl w:val="0"/>
          <w:numId w:val="10"/>
        </w:numPr>
      </w:pPr>
      <w:r>
        <w:t>Обязать школу прекратить конкретное продолжающееся нарушение и обеспечить [исполнимые меры] — если нарушение сохраняется и выбранный способ защиты допустим.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До подачи определите правильных ответчиков по возрасту каждого ребёнка и тому, находился ли причинитель под надзором школы. Не просите солидарное взыскание без отдельного законного основания.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направление копий;</w:t>
      </w:r>
    </w:p>
    <w:p>
      <w:pPr>
        <w:pStyle w:val="ListBullet"/>
        <w:numPr>
          <w:ilvl w:val="0"/>
          <w:numId w:val="11"/>
        </w:numPr>
      </w:pPr>
      <w:r>
        <w:t>документы о ребёнке и полномочиях представителя;</w:t>
      </w:r>
    </w:p>
    <w:p>
      <w:pPr>
        <w:pStyle w:val="ListBullet"/>
        <w:numPr>
          <w:ilvl w:val="0"/>
          <w:numId w:val="11"/>
        </w:numPr>
      </w:pPr>
      <w:r>
        <w:t>обращения школе и органам;</w:t>
      </w:r>
    </w:p>
    <w:p>
      <w:pPr>
        <w:pStyle w:val="ListBullet"/>
        <w:numPr>
          <w:ilvl w:val="0"/>
          <w:numId w:val="11"/>
        </w:numPr>
      </w:pPr>
      <w:r>
        <w:t>акт школы и материалы проверки;</w:t>
      </w:r>
    </w:p>
    <w:p>
      <w:pPr>
        <w:pStyle w:val="ListBullet"/>
        <w:numPr>
          <w:ilvl w:val="0"/>
          <w:numId w:val="11"/>
        </w:numPr>
      </w:pPr>
      <w:r>
        <w:t>медицинские и психологические заключения;</w:t>
      </w:r>
    </w:p>
    <w:p>
      <w:pPr>
        <w:pStyle w:val="ListBullet"/>
        <w:numPr>
          <w:ilvl w:val="0"/>
          <w:numId w:val="11"/>
        </w:numPr>
      </w:pPr>
      <w:r>
        <w:t>скриншоты, видео и свидетели;</w:t>
      </w:r>
    </w:p>
    <w:p>
      <w:pPr>
        <w:pStyle w:val="ListBullet"/>
        <w:numPr>
          <w:ilvl w:val="0"/>
          <w:numId w:val="11"/>
        </w:numPr>
      </w:pPr>
      <w:r>
        <w:t>доказательства расходов;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документ о льготе / пошлине;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150–152, 1064, 1073–1074, 1085–1094 и 1099–1101 ГК РФ; статьи 28, 34, 41, 43 и 45 Федерального закона № 273-ФЗ; статьи 24, 28–29, 56, 91, 131–132 ГПК РФ; статья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