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вреда здоровью после татуировки или перманентного макияжа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№483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Медицинские документы и, как правило, экспертное исследование связывают инфекцию, рубцы, ожог или иное повреждение с нарушением технологии, санитарных требований либо недостатком материалов.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правилам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[мастер / ИП / салон / клиника,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</w:t>
      </w:r>
    </w:p>
    <w:p>
      <w:pPr>
        <w:pStyle w:val="Heading1"/>
      </w:pPr>
      <w:r>
        <w:t>ИСКОВОЕ ЗАЯВЛЕНИЕ О ВОЗМЕЩЕНИИ ВРЕДА ЗДОРОВЬЮ</w:t>
      </w:r>
    </w:p>
    <w:p>
      <w:r>
        <w:t>[Дата] ответчик оказал мне услугу [татуировка / перманентный макияж] в [место], стоимостью [сумма] руб. После процедуры возникли [симптомы и диагноз], за медицинской помощью я обратился(ась) [дата].</w:t>
      </w:r>
    </w:p>
    <w:p>
      <w:r>
        <w:t>Нарушение и причинная связь подтверждаются [медицинские документы, сведения о материалах, заключение специалиста/эксперта]. На лечение и устранение последствий понесены расходы [сумма] руб. Претензия от [дата] не удовлетворена.</w:t>
      </w:r>
    </w:p>
    <w:p>
      <w:r>
        <w:t>Если услуга оказывалась как медицинское вмешательство, дополнительно указываются лицензия, информированное согласие и требования законодательства об охране здоровья. Для бытовой татуировки правовая оценка лицензирования может отличаться, но требования безопасности услуги сохраняются.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стоимость некачественной услуги — [сумма] руб.</w:t>
      </w:r>
    </w:p>
    <w:p>
      <w:pPr>
        <w:pStyle w:val="ListNumber"/>
        <w:numPr>
          <w:ilvl w:val="0"/>
          <w:numId w:val="10"/>
        </w:numPr>
      </w:pPr>
      <w:r>
        <w:t>Взыскать расходы на лечение, лекарства, диагностику и устранение последствий — [сумма] руб.</w:t>
      </w:r>
    </w:p>
    <w:p>
      <w:pPr>
        <w:pStyle w:val="ListNumber"/>
        <w:numPr>
          <w:ilvl w:val="0"/>
          <w:numId w:val="10"/>
        </w:numPr>
      </w:pPr>
      <w:r>
        <w:t>Взыскать утраченный заработок — при наличии оснований и расчёта.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вреда, потребительский штраф и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удаляйте и не исправляйте результат у другого мастера до медицинской фиксации, если это не требуется для безопасности. Срочное лечение всегда важнее сохранения внешнего доказательства.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договор/переписка и чек;</w:t>
      </w:r>
    </w:p>
    <w:p>
      <w:pPr>
        <w:pStyle w:val="ListBullet"/>
        <w:numPr>
          <w:ilvl w:val="0"/>
          <w:numId w:val="11"/>
        </w:numPr>
      </w:pPr>
      <w:r>
        <w:t>фото до и после;</w:t>
      </w:r>
    </w:p>
    <w:p>
      <w:pPr>
        <w:pStyle w:val="ListBullet"/>
        <w:numPr>
          <w:ilvl w:val="0"/>
          <w:numId w:val="11"/>
        </w:numPr>
      </w:pPr>
      <w:r>
        <w:t>медицинские документы и назначения;</w:t>
      </w:r>
    </w:p>
    <w:p>
      <w:pPr>
        <w:pStyle w:val="ListBullet"/>
        <w:numPr>
          <w:ilvl w:val="0"/>
          <w:numId w:val="11"/>
        </w:numPr>
      </w:pPr>
      <w:r>
        <w:t>сведения о пигментах и расходниках;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чеки, расчёт утраченного заработка и заключение эксперта.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7, 14, 15, 29 и 31 Закона РФ «О защите прав потребителей»; статьи 1085 и 1095–1098 ГК РФ; Федеральный закон № 323-ФЗ и постановление Правительства РФ № 736 — если оказывалась медицинская услуга.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