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ВЗЫСКАНИИ ДЕЙСТВИТЕЛЬНОЙ СТОИМОСТИ ДОЛИ В ООО И ПРОЦЕНТОВ</w:t>
      </w:r>
    </w:p>
    <w:p>
      <w:pPr>
        <w:jc w:val="center"/>
      </w:pPr>
      <w:r>
        <w:rPr>
          <w:i/>
        </w:rPr>
        <w:t>Статья №353 • корпоративный спор • АПК РФ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ООО «[наименование]», адрес/ОГРН/ИНН: [___]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Обстоятельства</w:t>
      </w:r>
    </w:p>
    <w:p>
      <w:r>
        <w:t>Истец являлся участником ООО «[___]» с долей [__]%. [дата] доля перешла к обществу вследствие [нотариального выхода / иного основания]. Срок выплаты истёк [дата]. Ответчик выплатил [___] руб. / выплату не произвёл. Истец не согласен с расчётом, поскольку [обосновать].</w:t>
      </w:r>
    </w:p>
    <w:p>
      <w:r>
        <w:t>[Если применимо] До истечения срока выплаты, [дата], истец заявил об определении стоимости чистых активов с учётом рыночной стоимости активов и обязательств. Заявление и доказательство получения обществом прилагаются. Оценка [проведена / не завершена / оспаривается].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shd w:fill="EDEDED"/>
            <w:vAlign w:val="center"/>
          </w:tcPr>
          <w:p>
            <w:r>
              <w:t>Требование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Как определить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Сумма</w:t>
            </w:r>
          </w:p>
        </w:tc>
      </w:tr>
      <w:tr>
        <w:tc>
          <w:tcPr>
            <w:tcW w:type="dxa" w:w="3381"/>
          </w:tcPr>
          <w:p>
            <w:r>
              <w:t>Действительная стоимость доли</w:t>
            </w:r>
          </w:p>
        </w:tc>
        <w:tc>
          <w:tcPr>
            <w:tcW w:type="dxa" w:w="3381"/>
          </w:tcPr>
          <w:p>
            <w:r>
              <w:t>По применимому расчёту/рыночной оценке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Минус выплачено</w:t>
            </w:r>
          </w:p>
        </w:tc>
        <w:tc>
          <w:tcPr>
            <w:tcW w:type="dxa" w:w="3381"/>
          </w:tcPr>
          <w:p>
            <w:r>
              <w:t>Фактическая выплата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Основной долг</w:t>
            </w:r>
          </w:p>
        </w:tc>
        <w:tc>
          <w:tcPr>
            <w:tcW w:type="dxa" w:w="3381"/>
          </w:tcPr>
          <w:p>
            <w:r>
              <w:t>Разница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Проценты по ст.395 ГК РФ</w:t>
            </w:r>
          </w:p>
        </w:tc>
        <w:tc>
          <w:tcPr>
            <w:tcW w:type="dxa" w:w="3381"/>
          </w:tcPr>
          <w:p>
            <w:r>
              <w:t>Рассчитать в калькуляторе на сайте до даты подачи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Цена иска</w:t>
            </w:r>
          </w:p>
        </w:tc>
        <w:tc>
          <w:tcPr>
            <w:tcW w:type="dxa" w:w="3381"/>
          </w:tcPr>
          <w:p>
            <w:r>
              <w:t>Основной долг + проценты на дату подачи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</w:tbl>
    <w:p>
      <w:pPr>
        <w:pStyle w:val="Heading1"/>
      </w:pPr>
      <w:r>
        <w:t>Госпошлина</w:t>
      </w:r>
    </w:p>
    <w:p>
      <w:r>
        <w:t>Иск имущественный. Госпошлину рассчитать в калькуляторе на сайте по цене иска по подпункту 1 пункта 1 статьи 333.21 НК РФ. Если одновременно заявляется самостоятельное неимущественное требование, рассчитать дополнительную госпошлину отдельно по его характеру.</w:t>
      </w:r>
    </w:p>
    <w:p>
      <w:pPr>
        <w:pStyle w:val="Heading1"/>
      </w:pPr>
      <w:r>
        <w:t>Ходатайство об экспертизе / истребовании документов</w:t>
      </w:r>
    </w:p>
    <w:p>
      <w:r>
        <w:t>Если спор о стоимости не может быть разрешён по представленным документам, истец просит истребовать бухгалтерскую отчётность, расшифровки активов/обязательств, документы на недвижимость и существенные активы и рассмотреть вопрос о судебной оценочной/финансово-экономической экспертизе. Вопросы эксперту формулируются о рыночной стоимости активов и обязательств на юридически значимую дату, а не о правовом выводе «сколько должен ответчик».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действительную стоимость доли (неоплаченную часть) в размере [___] руб.;</w:t>
      </w:r>
    </w:p>
    <w:p>
      <w:pPr>
        <w:pStyle w:val="ListNumber"/>
      </w:pPr>
      <w:r>
        <w:t>взыскать проценты по статье 395 ГК РФ в размере [___] руб. на дату подачи и далее по день фактической уплаты — если заявляется;</w:t>
      </w:r>
    </w:p>
    <w:p>
      <w:pPr>
        <w:pStyle w:val="ListNumber"/>
      </w:pPr>
      <w:r>
        <w:t>истребовать у ответчика [закрытый перечень документов];</w:t>
      </w:r>
    </w:p>
    <w:p>
      <w:pPr>
        <w:pStyle w:val="ListNumber"/>
      </w:pPr>
      <w:r>
        <w:t>назначить судебную оценочную/финансово-экономическую экспертизу — если без неё невозможно определить стоимость;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Устав/выписка ЕГРЮЛ и документы о переходе доли к обществу.</w:t>
      </w:r>
    </w:p>
    <w:p>
      <w:pPr>
        <w:pStyle w:val="ListBullet"/>
      </w:pPr>
      <w:r>
        <w:t>Заявление о рыночной оценке и доказательство своевременного направления — если применимо.</w:t>
      </w:r>
    </w:p>
    <w:p>
      <w:pPr>
        <w:pStyle w:val="ListBullet"/>
      </w:pPr>
      <w:r>
        <w:t>Расчёт общества, отчёт оценщика, возражения.</w:t>
      </w:r>
    </w:p>
    <w:p>
      <w:pPr>
        <w:pStyle w:val="ListBullet"/>
      </w:pPr>
      <w:r>
        <w:t>Требование об оплате и ответ.</w:t>
      </w:r>
    </w:p>
    <w:p>
      <w:pPr>
        <w:pStyle w:val="ListBullet"/>
      </w:pPr>
      <w:r>
        <w:t>Расчёт процентов из калькулятора сайта.</w:t>
      </w:r>
    </w:p>
    <w:p>
      <w:pPr>
        <w:pStyle w:val="ListBullet"/>
      </w:pPr>
      <w:r>
        <w:t>Госпошлина.</w:t>
      </w:r>
    </w:p>
    <w:p>
      <w:pPr>
        <w:pStyle w:val="ListBullet"/>
      </w:pPr>
      <w:r>
        <w:t>Доказательство направления копии иска ответчику.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