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взыскании части ипотечных платежей, внесённых после развода</w:t>
      </w:r>
    </w:p>
    <w:p>
      <w:pPr>
        <w:spacing w:after="40"/>
      </w:pPr>
      <w:r>
        <w:rPr>
          <w:b/>
          <w:color w:val="676767"/>
        </w:rPr>
        <w:t>Категория: Иски  •  Статья сайта: №477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Второй бывший супруг не компенсирует свою долю исполненного общего обязательства. Состав требований зависит от того, разделены ли квартира и долг и является ли ответчик созаёмщиком.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судья / районный суд по цене и составу требований]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pStyle w:val="Heading1"/>
      </w:pPr>
      <w:r>
        <w:t>ИСКОВОЕ ЗАЯВЛЕНИЕ О ВЗЫСКАНИИ ЧАСТИ ПЛАТЕЖЕЙ ПО ОБЩЕМУ КРЕДИТНОМУ ОБЯЗАТЕЛЬСТВУ</w:t>
      </w:r>
    </w:p>
    <w:p>
      <w:r>
        <w:t>Брак сторон прекращён [дата]. Квартира [адрес] и кредитное обязательство возникли в период брака. Правовой режим имущества и долга установлен [договором / решением / соглашением / подлежит установлению по обстоятельствам].</w:t>
      </w:r>
    </w:p>
    <w:p>
      <w:r>
        <w:t>После прекращения брака истец за счёт личных средств уплатил банку [сумма] руб. за период [период]. Ответчик участия не принимал. Размер заявленной к взысканию части — [сумма] руб., расчёт произведён [объяснить].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с ответчика часть фактически исполненного общего обязательства в размере [сумма] руб.</w:t>
      </w:r>
    </w:p>
    <w:p>
      <w:pPr>
        <w:pStyle w:val="ListNumber"/>
        <w:numPr>
          <w:ilvl w:val="0"/>
          <w:numId w:val="10"/>
        </w:numPr>
      </w:pPr>
      <w:r>
        <w:t>Взыскать проценты по статье 395 ГК РФ только при наличии законного основания и приложенного расчёта.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Каждый платёж имеет свою дату исполнения и влияет на исковую давность. Если имущество и долг ещё не разделены, может понадобиться отдельное или соединённое требование о разделе.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иск и копии;</w:t>
      </w:r>
    </w:p>
    <w:p>
      <w:pPr>
        <w:pStyle w:val="ListBullet"/>
        <w:numPr>
          <w:ilvl w:val="0"/>
          <w:numId w:val="11"/>
        </w:numPr>
      </w:pPr>
      <w:r>
        <w:t>документы о браке и разводе;</w:t>
      </w:r>
    </w:p>
    <w:p>
      <w:pPr>
        <w:pStyle w:val="ListBullet"/>
        <w:numPr>
          <w:ilvl w:val="0"/>
          <w:numId w:val="11"/>
        </w:numPr>
      </w:pPr>
      <w:r>
        <w:t>кредитный договор и график;</w:t>
      </w:r>
    </w:p>
    <w:p>
      <w:pPr>
        <w:pStyle w:val="ListBullet"/>
        <w:numPr>
          <w:ilvl w:val="0"/>
          <w:numId w:val="11"/>
        </w:numPr>
      </w:pPr>
      <w:r>
        <w:t>выписки и платёжные документы;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решение/соглашение о разделе;</w:t>
      </w:r>
    </w:p>
    <w:p>
      <w:pPr>
        <w:pStyle w:val="ListBullet"/>
        <w:numPr>
          <w:ilvl w:val="0"/>
          <w:numId w:val="11"/>
        </w:numPr>
      </w:pPr>
      <w:r>
        <w:t>претензия и расчёт;</w:t>
      </w:r>
    </w:p>
    <w:p>
      <w:pPr>
        <w:pStyle w:val="ListBullet"/>
        <w:numPr>
          <w:ilvl w:val="0"/>
          <w:numId w:val="11"/>
        </w:numPr>
      </w:pPr>
      <w:r>
        <w:t>документы о госпошлине.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38 и 39 СК РФ; статьи 200, 247, 249, 325 и 395 ГК РФ; статьи 23–24, 28–30 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