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ущерба, причинённого заливом квартиры при тушении пожара</w:t>
      </w:r>
    </w:p>
    <w:p>
      <w:r>
        <w:t xml:space="preserve">«___» ________ 20__ г. в квартире [соседа / иного лица] произошёл пожар.</w:t>
      </w:r>
    </w:p>
    <w:p>
      <w:r>
        <w:t xml:space="preserve">При тушении пожара моя квартира [адрес] залита водой (пеной), имуществу и отделке причинён ущерб — [сумма] руб. по оценке.</w:t>
      </w:r>
    </w:p>
    <w:p>
      <w:r>
        <w:t xml:space="preserve">Виновник пожара установлен: [собственник квартиры, где был пожар — его вина в возгорании].</w:t>
      </w:r>
    </w:p>
    <w:p>
      <w:r>
        <w:t xml:space="preserve">Ущерб от тушения подлежит возмещению виновником пожара (ст. 1064 ГК РФ).</w:t>
      </w:r>
    </w:p>
    <w:p/>
    <w:p>
      <w:r>
        <w:t xml:space="preserve">На основании изложенного, руководствуясь ст. 15, 1064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ущерб, причинённый заливом при тушении пожара — [сумма] руб.</w:t>
      </w:r>
    </w:p>
    <w:p>
      <w:r>
        <w:t xml:space="preserve">2. Взыскать расходы на оценку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справка о пожаре / постановление о причине возгорания</w:t>
      </w:r>
    </w:p>
    <w:p>
      <w:r>
        <w:t xml:space="preserve">2. акт о заливе после тушения</w:t>
      </w:r>
    </w:p>
    <w:p>
      <w:r>
        <w:t xml:space="preserve">3. отчёт об оценке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Ответчик — виновник пожара: ущерб от тушения взыскивается с него (ст. 1064 ГК РФ).</w:t>
      </w:r>
    </w:p>
    <w:p>
      <w:r>
        <w:rPr>
          <w:i/>
          <w:iCs/>
          <w:sz w:val="18"/>
          <w:szCs w:val="18"/>
        </w:rPr>
        <w:t xml:space="preserve">• Если пожар возник не по вине лица (форс-мажор) — взыскание ограничено.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Подсудность: ответчик — сосед (не потребитель): мировой до 50 тыс.,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[isk-zaliv-kvartiry-ushcherb]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2026-08-17T06:35:48.555Z</dcterms:created>
  <dcterms:modified xsi:type="dcterms:W3CDTF">2026-08-17T06:35:48.555Z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