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зарплаты при невыполнении норм выработки и при простое</w:t>
      </w:r>
    </w:p>
    <w:p>
      <w:r>
        <w:t xml:space="preserve">Я работаю у Ответчика в должности [должность].</w:t>
      </w:r>
    </w:p>
    <w:p>
      <w:r>
        <w:t xml:space="preserve">В период [период] имело место: [простой по вине работодателя / невыполнение норм выработки по причинам, не зависящим от меня / отсутствие материалов, поломка оборудования].</w:t>
      </w:r>
    </w:p>
    <w:p>
      <w:r>
        <w:t xml:space="preserve">Ответчик оплатил этот период не в полном размере / не оплатил вовсе.</w:t>
      </w:r>
    </w:p>
    <w:p>
      <w:r>
        <w:t xml:space="preserve">Простой по вине работодателя оплачивается не менее 2/3 средней зарплаты (ст. 157 ТК РФ); при невыполнении норм не по моей вине — не менее 2/3 тарифной ставки (ст. 155 ТК РФ).</w:t>
      </w:r>
    </w:p>
    <w:p/>
    <w:p>
      <w:r>
        <w:t xml:space="preserve">На основании изложенного, руководствуясь ст. 155, 157 ТК РФ, ст.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недоначисленную оплату за период простоя / невыполнения норм — [сумма] руб.</w:t>
      </w:r>
    </w:p>
    <w:p>
      <w:r>
        <w:t xml:space="preserve">2. Взыскать компенсацию за задержку по ст. 236 ТК РФ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расчётные листки</w:t>
      </w:r>
    </w:p>
    <w:p>
      <w:r>
        <w:t xml:space="preserve">3. документы о простое (акты, приказы, уведомления)</w:t>
      </w:r>
    </w:p>
    <w:p>
      <w:r>
        <w:t xml:space="preserve">4. расчёт недоплаты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Простой нужно письменно зафиксировать (акт) — это главное доказательство.</w:t>
      </w:r>
    </w:p>
    <w:p>
      <w:r>
        <w:rPr>
          <w:i/>
          <w:iCs/>
          <w:sz w:val="18"/>
          <w:szCs w:val="18"/>
        </w:rPr>
        <w:t xml:space="preserve">• СРОК: 1 ГОД по невыплаченной зарплате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(работник, ст. 393 ТК РФ).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[isk-nevyplata-zarplaty]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2026-08-17T06:35:45.130Z</dcterms:created>
  <dcterms:modified xsi:type="dcterms:W3CDTF">2026-08-17T06:35:45.130Z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