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устранении нарушений при зарядке электромобиля от общедомовой сети и взыскании расходов</w:t>
      </w:r>
    </w:p>
    <w:p>
      <w:pPr>
        <w:spacing w:after="40"/>
      </w:pPr>
      <w:r>
        <w:rPr>
          <w:b/>
          <w:color w:val="676767"/>
        </w:rPr>
        <w:t>Категория: Иски  •  Статья сайта: №459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после технической проверки, когда подтверждены незаконное использование общего имущества, отсутствие отдельного учёта либо оплата личной зарядки за счёт дома. Истца и ответчика выбирают по управлению домом и принадлежности оборудования.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/ мировой судья — по требованиям и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[собственник / ТСЖ / управляющая организация, данные]</w:t>
      </w:r>
    </w:p>
    <w:p>
      <w:pPr>
        <w:spacing w:after="40"/>
        <w:jc w:val="left"/>
      </w:pPr>
      <w:r>
        <w:rPr>
          <w:color w:val="14213D"/>
          <w:sz w:val="20"/>
        </w:rPr>
        <w:t>Ответчик: [владелец станции / помещения, данные]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[УК, энергосбыт, сеть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  Госпошлина: [расчёт]</w:t>
      </w:r>
    </w:p>
    <w:p>
      <w:pPr>
        <w:pStyle w:val="Heading1"/>
      </w:pPr>
      <w:r>
        <w:t>ИСКОВОЕ ЗАЯВЛЕНИЕ ОБ УСТРАНЕНИИ НАРУШЕНИЙ И ВЗЫСКАНИИ РАСХОДОВ</w:t>
      </w:r>
    </w:p>
    <w:p>
      <w:r>
        <w:t>Ответчик установил зарядную станцию [место] и подключил её по схеме [описать]. Согласно акту [организация, дата] использованы [общее имущество / общий щит / общая линия], отдельный учёт [есть / отсутствует], решение собственников [есть / отсутствует].</w:t>
      </w:r>
    </w:p>
    <w:p>
      <w:r>
        <w:t>Нарушение подтверждается [акт сети, УК, жилищной инспекции, проект, экспертиза]. Объём электроэнергии, оплаченной за счёт дома, составляет [кВт·ч] на сумму [сумма] руб. по расчёту [метод и документы].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Обязать ответчика прекратить использование общего имущества и общедомовой сети с нарушением установленного порядка.</w:t>
      </w:r>
    </w:p>
    <w:p>
      <w:pPr>
        <w:pStyle w:val="ListNumber"/>
        <w:numPr>
          <w:ilvl w:val="0"/>
          <w:numId w:val="10"/>
        </w:numPr>
      </w:pPr>
      <w:r>
        <w:t>Обязать выполнить законное переподключение, отдельный учёт либо демонтаж конкретных элементов: [перечень], если иное безопасное устранение невозможно.</w:t>
      </w:r>
    </w:p>
    <w:p>
      <w:pPr>
        <w:pStyle w:val="ListNumber"/>
        <w:numPr>
          <w:ilvl w:val="0"/>
          <w:numId w:val="10"/>
        </w:numPr>
      </w:pPr>
      <w:r>
        <w:t>Взыскать подтверждённую стоимость электроэнергии и расходы на обследование в размере [сумма] руб. в пользу надлежащего получателя.</w:t>
      </w:r>
    </w:p>
    <w:p>
      <w:pPr>
        <w:pStyle w:val="ListNumber"/>
        <w:numPr>
          <w:ilvl w:val="0"/>
          <w:numId w:val="10"/>
        </w:numPr>
      </w:pPr>
      <w:r>
        <w:t>Истребовать проект, технические условия, данные счётчиков и договор энергоснабжения, если они не предоставлены.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в подтверждённом размере.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объединяйте требования о демонтаже и взыскании произвольной суммы без технического акта. Суду нужны законный способ устранения и проверяемый расчёт потребления.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выписка ЕГРН истца и документы о полномочиях ТСЖ/УК;</w:t>
      </w:r>
    </w:p>
    <w:p>
      <w:pPr>
        <w:pStyle w:val="ListBullet"/>
        <w:numPr>
          <w:ilvl w:val="0"/>
          <w:numId w:val="11"/>
        </w:numPr>
      </w:pPr>
      <w:r>
        <w:t>акты осмотра, схема и фотографии;</w:t>
      </w:r>
    </w:p>
    <w:p>
      <w:pPr>
        <w:pStyle w:val="ListBullet"/>
        <w:numPr>
          <w:ilvl w:val="0"/>
          <w:numId w:val="11"/>
        </w:numPr>
      </w:pPr>
      <w:r>
        <w:t>ответы энергосбыта, сети и жилищной инспекции;</w:t>
      </w:r>
    </w:p>
    <w:p>
      <w:pPr>
        <w:pStyle w:val="ListBullet"/>
        <w:numPr>
          <w:ilvl w:val="0"/>
          <w:numId w:val="11"/>
        </w:numPr>
      </w:pPr>
      <w:r>
        <w:t>протокол общего собрания;</w:t>
      </w:r>
    </w:p>
    <w:p>
      <w:pPr>
        <w:pStyle w:val="ListBullet"/>
        <w:numPr>
          <w:ilvl w:val="0"/>
          <w:numId w:val="11"/>
        </w:numPr>
      </w:pPr>
      <w:r>
        <w:t>расчёт потребления и платёжные документы;</w:t>
      </w:r>
    </w:p>
    <w:p>
      <w:pPr>
        <w:pStyle w:val="ListBullet"/>
        <w:numPr>
          <w:ilvl w:val="0"/>
          <w:numId w:val="11"/>
        </w:numPr>
      </w:pPr>
      <w:r>
        <w:t>досудебные обращения и доказательства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249, 304 и 1102 ГК РФ; статьи 36, 39, 44 и 161 ЖК РФ; постановления Правительства РФ № 491 и № 442; статьи 23–24, 28, 56, 98 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