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ущерба от затопления автомобиля на парковке</w:t>
      </w:r>
    </w:p>
    <w:p>
      <w:pPr>
        <w:spacing w:after="40"/>
      </w:pPr>
      <w:r>
        <w:rPr>
          <w:b/>
          <w:color w:val="676767"/>
        </w:rPr>
        <w:t>Категория: Иски  •  Статья сайта: №295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после определения ответчика и неисполнения претензии. Подсудность, пошлина и потребительские требования зависят от режима парковки и статуса сторон.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Мировому судье / в районный суд [проверить по статьям 23–24, 28–29 ГПК РФ и составу требований]</w:t>
      </w:r>
    </w:p>
    <w:p>
      <w:pPr>
        <w:spacing w:after="40"/>
        <w:jc w:val="left"/>
      </w:pPr>
      <w:r>
        <w:rPr>
          <w:color w:val="14213D"/>
          <w:sz w:val="20"/>
        </w:rPr>
        <w:t>Истец: [все реквизиты по статье 131 ГПК РФ]</w:t>
      </w:r>
    </w:p>
    <w:p>
      <w:pPr>
        <w:spacing w:after="40"/>
        <w:jc w:val="left"/>
      </w:pPr>
      <w:r>
        <w:rPr>
          <w:color w:val="14213D"/>
          <w:sz w:val="20"/>
        </w:rPr>
        <w:t>Ответчик: [лицо, отвечающее за хранение / дренаж / содержание территории, адрес,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[подрядчик, страховщик, управляющая организация — при необходимости]</w:t>
      </w:r>
    </w:p>
    <w:p>
      <w:pPr>
        <w:spacing w:after="40"/>
        <w:jc w:val="left"/>
      </w:pPr>
      <w:r>
        <w:rPr>
          <w:color w:val="14213D"/>
          <w:sz w:val="20"/>
        </w:rPr>
        <w:t>Цена иска: [ущерб + убытки + иные имущественные требования]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[расчёт по статье 333.19 НК РФ / льгота потребителя по статье 333.36 НК РФ]</w:t>
      </w:r>
    </w:p>
    <w:p>
      <w:pPr>
        <w:pStyle w:val="Heading1"/>
      </w:pPr>
      <w:r>
        <w:t>ИСКОВОЕ ЗАЯВЛЕНИЕ О ВОЗМЕЩЕНИИ УЩЕРБА ОТ ЗАТОПЛЕНИЯ АВТОМОБИЛЯ</w:t>
      </w:r>
    </w:p>
    <w:p>
      <w:pPr>
        <w:pStyle w:val="Heading2"/>
      </w:pPr>
      <w:r>
        <w:t>ОПИСАТЕЛЬНАЯ ЧАСТЬ</w:t>
      </w:r>
    </w:p>
    <w:p>
      <w:r>
        <w:t>[Дата] автомобиль [марка, VIN] был размещён [условия, место]. В результате затопления [дата, время] повреждены [узлы]. Причина по [акт / заключение] — [ливневая канализация, дренаж, гидроизоляция, иное]. За эту обязанность отвечает ответчик на основании [договор, закон, документы управления].</w:t>
      </w:r>
    </w:p>
    <w:p>
      <w:r>
        <w:t>Размер ущерба — [сумма] руб., необходимые расходы — [сумма] руб. Ответчик приглашался на осмотр [дата]. Претензия от [дата] получена [дата], но [не исполнена / отклонена].</w:t>
      </w:r>
    </w:p>
    <w:p>
      <w:pPr>
        <w:pStyle w:val="Heading2"/>
      </w:pPr>
      <w:r>
        <w:t>МОТИВИРОВОЧНАЯ ЧАСТЬ</w:t>
      </w:r>
    </w:p>
    <w:p>
      <w:r>
        <w:t>Убытки возмещаются при наличии нарушения обязанности, вреда и причинной связи. При хранении применяются статьи 886, 891 и 901 ГК РФ; при недостатке потребительской услуги — Закон о защите прав потребителей; при общем деликте — статья 1064 ГК РФ. Освобождение по статье 401 ГК РФ требует доказательств чрезвычайности и непредотвратимости события, а не только справки о ливне.</w:t>
      </w:r>
    </w:p>
    <w:p>
      <w:pPr>
        <w:pStyle w:val="Heading2"/>
      </w:pPr>
      <w:r>
        <w:t>ПРОСИТЕЛЬНАЯ ЧАСТЬ</w:t>
      </w:r>
    </w:p>
    <w:p>
      <w:r>
        <w:t>На основании статей 15, 393, 401, 886, 891, 901, 1064 и 1082 ГК РФ, применимых норм Закона о защите прав потребителей и статей 23–24, 28–29, 56, 91, 131–132 ГПК РФ ПРОШУ:</w:t>
      </w:r>
    </w:p>
    <w:p>
      <w:pPr>
        <w:pStyle w:val="ListNumber"/>
        <w:numPr>
          <w:ilvl w:val="0"/>
          <w:numId w:val="10"/>
        </w:numPr>
      </w:pPr>
      <w:r>
        <w:t>Взыскать стоимость восстановительного ремонта / размер реального ущерба [сумма] руб.</w:t>
      </w:r>
    </w:p>
    <w:p>
      <w:pPr>
        <w:pStyle w:val="ListNumber"/>
        <w:numPr>
          <w:ilvl w:val="0"/>
          <w:numId w:val="10"/>
        </w:numPr>
      </w:pPr>
      <w:r>
        <w:t>Взыскать необходимые расходы [эвакуация, диагностика, оценка, хранение] в сумме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и потребительский штраф — только если доказано применение Закона о защите прав потребителей.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часть ущерба выплачена по КАСКО, укажите выплату и не требуйте её повторно. Проверьте переход права требования к страховщику в выплаченной части.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копии иска участникам;</w:t>
      </w:r>
    </w:p>
    <w:p>
      <w:pPr>
        <w:pStyle w:val="ListBullet"/>
        <w:numPr>
          <w:ilvl w:val="0"/>
          <w:numId w:val="11"/>
        </w:numPr>
      </w:pPr>
      <w:r>
        <w:t>договор / чек / пропуск и правила парковки;</w:t>
      </w:r>
    </w:p>
    <w:p>
      <w:pPr>
        <w:pStyle w:val="ListBullet"/>
        <w:numPr>
          <w:ilvl w:val="0"/>
          <w:numId w:val="11"/>
        </w:numPr>
      </w:pPr>
      <w:r>
        <w:t>акт о событии, фото и видео;</w:t>
      </w:r>
    </w:p>
    <w:p>
      <w:pPr>
        <w:pStyle w:val="ListBullet"/>
        <w:numPr>
          <w:ilvl w:val="0"/>
          <w:numId w:val="11"/>
        </w:numPr>
      </w:pPr>
      <w:r>
        <w:t>доказательства причины и зоны ответственности;</w:t>
      </w:r>
    </w:p>
    <w:p>
      <w:pPr>
        <w:pStyle w:val="ListBullet"/>
        <w:numPr>
          <w:ilvl w:val="0"/>
          <w:numId w:val="11"/>
        </w:numPr>
      </w:pPr>
      <w:r>
        <w:t>оценка ущерба и доказательство приглашения на осмотр;</w:t>
      </w:r>
    </w:p>
    <w:p>
      <w:pPr>
        <w:pStyle w:val="ListBullet"/>
        <w:numPr>
          <w:ilvl w:val="0"/>
          <w:numId w:val="11"/>
        </w:numPr>
      </w:pPr>
      <w:r>
        <w:t>расчёт цены иска;</w:t>
      </w:r>
    </w:p>
    <w:p>
      <w:pPr>
        <w:pStyle w:val="ListBullet"/>
        <w:numPr>
          <w:ilvl w:val="0"/>
          <w:numId w:val="11"/>
        </w:numPr>
      </w:pPr>
      <w:r>
        <w:t>претензия, доставка и ответ;</w:t>
      </w:r>
    </w:p>
    <w:p>
      <w:pPr>
        <w:pStyle w:val="ListBullet"/>
        <w:numPr>
          <w:ilvl w:val="0"/>
          <w:numId w:val="11"/>
        </w:numPr>
      </w:pPr>
      <w:r>
        <w:t>документы о страховой выплате или отказе;</w:t>
      </w:r>
    </w:p>
    <w:p>
      <w:pPr>
        <w:pStyle w:val="ListBullet"/>
        <w:numPr>
          <w:ilvl w:val="0"/>
          <w:numId w:val="11"/>
        </w:numPr>
      </w:pPr>
      <w:r>
        <w:t>документ о пошлине либо льготе;</w:t>
      </w:r>
    </w:p>
    <w:p>
      <w:pPr>
        <w:pStyle w:val="ListBullet"/>
        <w:numPr>
          <w:ilvl w:val="0"/>
          <w:numId w:val="11"/>
        </w:numPr>
      </w:pPr>
      <w:r>
        <w:t>доверенность — при необходимости.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886, 891, 901, 1064 и 1082 ГК РФ; Закон РФ «О защите прав потребителей»; статьи 23–24, 28–29, 56, 91, 131–132 ГПК РФ; статьи 333.19 и 333.36 НК РФ; Постановление Правительства РФ № 737.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