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Коллективная жалоба на признаки незаконного хостела или гостиничных услуг в квартире</w:t>
      </w:r>
    </w:p>
    <w:p>
      <w:pPr>
        <w:spacing w:after="40"/>
      </w:pPr>
      <w:r>
        <w:rPr>
          <w:b/>
          <w:color w:val="676767"/>
        </w:rPr>
        <w:t>Категория: Жалобы  •  Статья сайта: №315</w:t>
      </w:r>
    </w:p>
    <w:p>
      <w:pPr>
        <w:spacing w:after="160"/>
      </w:pPr>
      <w:r>
        <w:rPr>
          <w:b/>
          <w:color w:val="676767"/>
          <w:sz w:val="19"/>
        </w:rPr>
        <w:t>Структура: ОБРАЩЕНИЕ: адресат и заявитель • обстоятельства • правовые основания • требования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соседями в жилищную инспекцию, муниципальный орган и иные компетентные органы, когда есть конкретные признаки гостиничного обслуживания и нарушения прав жителей. Краткосрочный наём сам по себе не доказывает незаконную гостиницу.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государственную жилищную инспекцию [регион]</w:t>
      </w:r>
    </w:p>
    <w:p>
      <w:pPr>
        <w:spacing w:after="40"/>
        <w:jc w:val="left"/>
      </w:pPr>
      <w:r>
        <w:rPr>
          <w:color w:val="14213D"/>
          <w:sz w:val="20"/>
        </w:rPr>
        <w:t>Копия: [орган местного самоуправления / Роспотребнадзор / полиция — по компетенции]</w:t>
      </w:r>
    </w:p>
    <w:p>
      <w:pPr>
        <w:spacing w:after="40"/>
        <w:jc w:val="left"/>
      </w:pPr>
      <w:r>
        <w:rPr>
          <w:color w:val="14213D"/>
          <w:sz w:val="20"/>
        </w:rPr>
        <w:t>Заявители: [ФИО собственников/жителей, квартиры, контакты]</w:t>
      </w:r>
    </w:p>
    <w:p>
      <w:pPr>
        <w:spacing w:after="40"/>
        <w:jc w:val="left"/>
      </w:pPr>
      <w:r>
        <w:rPr>
          <w:color w:val="14213D"/>
          <w:sz w:val="20"/>
        </w:rPr>
        <w:t>Дом и спорная квартира: [адрес, номер]</w:t>
      </w:r>
    </w:p>
    <w:p>
      <w:pPr>
        <w:pStyle w:val="Heading1"/>
      </w:pPr>
      <w:r>
        <w:t>КОЛЛЕКТИВНАЯ ЖАЛОБА НА ИСПОЛЬЗОВАНИЕ ЖИЛОГО ПОМЕЩЕНИЯ С ПРИЗНАКАМИ ГОСТИНИЧНЫХ УСЛУГ И НАРУШЕНИЕ ПРАВ ЖИТЕЛЕЙ</w:t>
      </w:r>
    </w:p>
    <w:p>
      <w:pPr>
        <w:pStyle w:val="Heading2"/>
      </w:pPr>
      <w:r>
        <w:t>ОБСТОЯТЕЛЬСТВА</w:t>
      </w:r>
    </w:p>
    <w:p>
      <w:r>
        <w:t>В квартире № [номер] с [период] систематически происходит [круглосуточное заселение, продажа мест, стойка/администратор, регулярная уборка и смена белья как услуга, вывеска, хранение ключей, иные признаки]. Объявления размещены по адресам [ссылки].</w:t>
      </w:r>
    </w:p>
    <w:p>
      <w:r>
        <w:t>Права жителей нарушаются конкретно: [шум по датам, проход посторонних, блокирование путей, мусор, повреждения, вызовы служб]. Факты подтверждаются [приложения]. Сам факт краткого срока найма заявители не считают единственным нарушением.</w:t>
      </w:r>
    </w:p>
    <w:p>
      <w:pPr>
        <w:pStyle w:val="Heading2"/>
      </w:pPr>
      <w:r>
        <w:t>ПРАВОВЫЕ ОСНОВАНИЯ</w:t>
      </w:r>
    </w:p>
    <w:p>
      <w:r>
        <w:t>ЖК РФ запрещает размещать гостиницы и оказывать гостиничные услуги в жилом помещении. При этом краткосрочный наём необходимо отличать от гостиничной деятельности по фактическому содержанию отношений и нарушениям прав соседей.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Провести проверку фактического использования квартиры и общих помещений с фиксацией установленных обстоятельств.</w:t>
      </w:r>
    </w:p>
    <w:p>
      <w:pPr>
        <w:pStyle w:val="ListNumber"/>
        <w:numPr>
          <w:ilvl w:val="0"/>
          <w:numId w:val="10"/>
        </w:numPr>
      </w:pPr>
      <w:r>
        <w:t>Истребовать у собственника / пользователя объяснения и документы о правовом режиме деятельности, а также проверить соблюдение жилищных требований в пределах компетенции.</w:t>
      </w:r>
    </w:p>
    <w:p>
      <w:pPr>
        <w:pStyle w:val="ListNumber"/>
        <w:numPr>
          <w:ilvl w:val="0"/>
          <w:numId w:val="10"/>
        </w:numPr>
      </w:pPr>
      <w:r>
        <w:t>При выявлении нарушений выдать обязательное предписание, составить материалы об ответственности и направить сведения в компетентные органы.</w:t>
      </w:r>
    </w:p>
    <w:p>
      <w:pPr>
        <w:pStyle w:val="ListNumber"/>
        <w:numPr>
          <w:ilvl w:val="0"/>
          <w:numId w:val="10"/>
        </w:numPr>
      </w:pPr>
      <w:r>
        <w:t>Сообщить заявителям результаты, принятые меры и порядок обжалования; при передаче обращения по подведомственности указать адресата и дату.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публикуйте паспортные данные гостей и не проникайте в квартиру. Фиксируйте объявления, сервис, шум, безопасность и использование общих помещений законными способами.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лист заявителей с подписями и контактами;</w:t>
      </w:r>
    </w:p>
    <w:p>
      <w:pPr>
        <w:pStyle w:val="ListBullet"/>
        <w:numPr>
          <w:ilvl w:val="0"/>
          <w:numId w:val="11"/>
        </w:numPr>
      </w:pPr>
      <w:r>
        <w:t>скриншоты объявлений с датами и ссылками;</w:t>
      </w:r>
    </w:p>
    <w:p>
      <w:pPr>
        <w:pStyle w:val="ListBullet"/>
        <w:numPr>
          <w:ilvl w:val="0"/>
          <w:numId w:val="11"/>
        </w:numPr>
      </w:pPr>
      <w:r>
        <w:t>журнал нарушений по датам и времени;</w:t>
      </w:r>
    </w:p>
    <w:p>
      <w:pPr>
        <w:pStyle w:val="ListBullet"/>
        <w:numPr>
          <w:ilvl w:val="0"/>
          <w:numId w:val="11"/>
        </w:numPr>
      </w:pPr>
      <w:r>
        <w:t>фото общих помещений;</w:t>
      </w:r>
    </w:p>
    <w:p>
      <w:pPr>
        <w:pStyle w:val="ListBullet"/>
        <w:numPr>
          <w:ilvl w:val="0"/>
          <w:numId w:val="11"/>
        </w:numPr>
      </w:pPr>
      <w:r>
        <w:t>номера вызовов полиции / аварийных служб;</w:t>
      </w:r>
    </w:p>
    <w:p>
      <w:pPr>
        <w:pStyle w:val="ListBullet"/>
        <w:numPr>
          <w:ilvl w:val="0"/>
          <w:numId w:val="11"/>
        </w:numPr>
      </w:pPr>
      <w:r>
        <w:t>акты УК / ТСЖ;</w:t>
      </w:r>
    </w:p>
    <w:p>
      <w:pPr>
        <w:pStyle w:val="ListBullet"/>
        <w:numPr>
          <w:ilvl w:val="0"/>
          <w:numId w:val="11"/>
        </w:numPr>
      </w:pPr>
      <w:r>
        <w:t>письменные объяснения свидетелей;</w:t>
      </w:r>
    </w:p>
    <w:p>
      <w:pPr>
        <w:pStyle w:val="ListBullet"/>
        <w:numPr>
          <w:ilvl w:val="0"/>
          <w:numId w:val="11"/>
        </w:numPr>
      </w:pPr>
      <w:r>
        <w:t>предыдущие обращения и ответы.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части 1–3 статьи 17 ЖК РФ; статьи 30 и 36 ЖК РФ; Постановление Конституционного Суда РФ от 23.03.2023 № 9-П; Федеральный закон от 02.05.2006 № 59-ФЗ; нормы КоАП РФ и регионального закона о тишине — по фактам.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№315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