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Коллективный иск к банку о взыскании навязанных комиссий и услуг (группа клиентов)</w:t>
      </w:r>
    </w:p>
    <w:p>
      <w:r>
        <w:t xml:space="preserve">Ответчик при выдаче кредитов ([число] клиентов) подключал платные услуги / страховки без добровольного согласия: [название услуги, сумма].</w:t>
      </w:r>
    </w:p>
    <w:p>
      <w:r>
        <w:t xml:space="preserve">Условия договоров типовые, нарушения однородны — требования группы основаны на одном основании (ст. 16 ЗоЗПП).</w:t>
      </w:r>
    </w:p>
    <w:p/>
    <w:p>
      <w:r>
        <w:t xml:space="preserve">На основании изложенного, руководствуясь ст. 244.11–244.20 ГПК РФ, ст. 16 ЗоЗПП (запрет навязывания), ФЗ-353 «О потребительском кредите»,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навязанных услуг в пользу каждого клиента — [сумма] руб.</w:t>
      </w:r>
    </w:p>
    <w:p>
      <w:r>
        <w:t xml:space="preserve">2. Взыскать проценты за пользование чужими средствами.</w:t>
      </w:r>
    </w:p>
    <w:p>
      <w:r>
        <w:t xml:space="preserve">3. Взыскать моральный вред и штраф 50%.</w:t>
      </w:r>
    </w:p>
    <w:p/>
    <w:p>
      <w:r>
        <w:t xml:space="preserve">Приложения:</w:t>
      </w:r>
    </w:p>
    <w:p>
      <w:r>
        <w:t xml:space="preserve">1. кредитные договоры и выписки каждого</w:t>
      </w:r>
    </w:p>
    <w:p>
      <w:r>
        <w:t xml:space="preserve">2. список членов группы</w:t>
      </w:r>
    </w:p>
    <w:p>
      <w:r>
        <w:t xml:space="preserve">3. претензии и ответы банка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16 ЗоЗПП: навязывание дополнительных услуг за плату запрещено.</w:t>
      </w:r>
    </w:p>
    <w:p>
      <w:r>
        <w:rPr>
          <w:i/>
          <w:iCs/>
          <w:sz w:val="18"/>
          <w:szCs w:val="18"/>
        </w:rPr>
        <w:t xml:space="preserve">• Период охлаждения по страховкам — 14 дней (указание ЦБ).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[zhaloba-cb-rf-bank]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2026-08-22T06:27:18.231Z</dcterms:created>
  <dcterms:modified xsi:type="dcterms:W3CDTF">2026-08-22T06:27:18.231Z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