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КОРПОРАТИВНЫЙ ДОГОВОР УЧАСТНИКОВ ООО: ГОЛОСОВАНИЕ, ДЕДЛОК, ИНФОРМАЦИЯ И ВЫХОД</w:t>
      </w:r>
    </w:p>
    <w:p>
      <w:pPr>
        <w:jc w:val="center"/>
      </w:pPr>
      <w:r>
        <w:rPr>
          <w:i/>
        </w:rPr>
        <w:t>Статья №355 • проект для адаптации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Участникам ООО «[наименование]»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r>
        <w:t>Это проект корпоративного договора по статье 67.2 ГК РФ. Он не заменяет устав и не может обязать общество или третьих лиц там, где законом требуется решение органа общества, нотариальная форма либо государственная регистрация. Перед подписанием сверить устав и состав участников.</w:t>
      </w:r>
    </w:p>
    <w:p>
      <w:pPr>
        <w:pStyle w:val="Heading1"/>
      </w:pPr>
      <w:r>
        <w:t>1. Участники и исходные доли</w:t>
      </w:r>
    </w:p>
    <w:p>
      <w:r>
        <w:t>Участник 1: [Ф.И.О./наименование], доля [__]%. Участник 2: [___], доля [__]%. Общество: ООО «[___]», ОГРН [___].</w:t>
      </w:r>
    </w:p>
    <w:p>
      <w:pPr>
        <w:pStyle w:val="Heading1"/>
      </w:pPr>
      <w:r>
        <w:t>2. Обычные решения</w:t>
      </w:r>
    </w:p>
    <w:p>
      <w:r>
        <w:t>Участники обязуются голосовать согласованно по текущим вопросам в пределах, допускаемых законом. Решения, для которых закон или устав устанавливает специальное большинство/единогласие, принимаются только с соблюдением такого требования.</w:t>
      </w:r>
    </w:p>
    <w:p>
      <w:pPr>
        <w:pStyle w:val="Heading1"/>
      </w:pPr>
      <w:r>
        <w:t>3. Зарезервированные вопросы</w:t>
      </w:r>
    </w:p>
    <w:p>
      <w:pPr>
        <w:pStyle w:val="ListBullet"/>
      </w:pPr>
      <w:r>
        <w:t>смена директора и ключевых руководителей;</w:t>
      </w:r>
    </w:p>
    <w:p>
      <w:pPr>
        <w:pStyle w:val="ListBullet"/>
      </w:pPr>
      <w:r>
        <w:t>бюджет, кредиты и поручительства свыше [___] руб.;</w:t>
      </w:r>
    </w:p>
    <w:p>
      <w:pPr>
        <w:pStyle w:val="ListBullet"/>
      </w:pPr>
      <w:r>
        <w:t>продажа/залог ключевых активов, сделки со связанными лицами;</w:t>
      </w:r>
    </w:p>
    <w:p>
      <w:pPr>
        <w:pStyle w:val="ListBullet"/>
      </w:pPr>
      <w:r>
        <w:t>выплата дивидендов и политика резервов;</w:t>
      </w:r>
    </w:p>
    <w:p>
      <w:pPr>
        <w:pStyle w:val="ListBullet"/>
      </w:pPr>
      <w:r>
        <w:t>изменение устава, капитала, реорганизация/ликвидация;</w:t>
      </w:r>
    </w:p>
    <w:p>
      <w:pPr>
        <w:pStyle w:val="ListBullet"/>
      </w:pPr>
      <w:r>
        <w:t>вход нового участника, продажа доли третьему лицу, опцион/залог доли.</w:t>
      </w:r>
    </w:p>
    <w:p>
      <w:pPr>
        <w:pStyle w:val="Heading1"/>
      </w:pPr>
      <w:r>
        <w:t>4. Информация и контроль</w:t>
      </w:r>
    </w:p>
    <w:p>
      <w:r>
        <w:t>Не позднее [число] числа каждого месяца общество/директор предоставляет участникам управленческий отчёт, банковскую выписку, дебиторскую/кредиторскую задолженность и перечень сделок свыше [___] руб. Доступ к документам осуществляется с учётом закона и коммерческой тайны.</w:t>
      </w:r>
    </w:p>
    <w:p>
      <w:pPr>
        <w:pStyle w:val="Heading1"/>
      </w:pPr>
      <w:r>
        <w:t>5. Финансирование</w:t>
      </w:r>
    </w:p>
    <w:p>
      <w:r>
        <w:t>Дополнительное финансирование оформляется только одним из заранее выбранных способов: вклад в имущество, увеличение уставного капитала, заем обществу либо иной законный инструмент. Устные «вложения партнёра» не считаются автоматически изменением долей.</w:t>
      </w:r>
    </w:p>
    <w:p>
      <w:pPr>
        <w:pStyle w:val="Heading1"/>
      </w:pPr>
      <w:r>
        <w:t>6. Дедлок</w:t>
      </w:r>
    </w:p>
    <w:p>
      <w:pPr>
        <w:pStyle w:val="ListNumber"/>
      </w:pPr>
      <w:r>
        <w:t>Письменное уведомление о спорном вопросе с проектом решения.</w:t>
      </w:r>
    </w:p>
    <w:p>
      <w:pPr>
        <w:pStyle w:val="ListNumber"/>
      </w:pPr>
      <w:r>
        <w:t>Переговоры участников в течение [10] рабочих дней.</w:t>
      </w:r>
    </w:p>
    <w:p>
      <w:pPr>
        <w:pStyle w:val="ListNumber"/>
      </w:pPr>
      <w:r>
        <w:t>Если спор финансовый/оценочный — заключение независимого бухгалтера/оценщика в течение [20] рабочих дней.</w:t>
      </w:r>
    </w:p>
    <w:p>
      <w:pPr>
        <w:pStyle w:val="ListNumber"/>
      </w:pPr>
      <w:r>
        <w:t>Если решение не найдено — медиация/переговоры представителей в течение [20] рабочих дней.</w:t>
      </w:r>
    </w:p>
    <w:p>
      <w:pPr>
        <w:pStyle w:val="ListNumber"/>
      </w:pPr>
      <w:r>
        <w:t>Если тупик сохраняется более [60] дней и блокирует существенную деятельность — применяется согласованный механизм выхода/выкупа, описанный ниже.</w:t>
      </w:r>
    </w:p>
    <w:p>
      <w:pPr>
        <w:pStyle w:val="Heading1"/>
      </w:pPr>
      <w:r>
        <w:t>7. Выход из дедлока и оценка доли</w:t>
      </w:r>
    </w:p>
    <w:p>
      <w:r>
        <w:t>Выберите и оставьте ОДИН рабочий механизм: (а) право одного участника предложить цену за 100% долей с равной возможностью другого участника либо продать свою долю по пропорциональной цене, либо купить долю инициатора; (б) независимая оценка + право первого предложения; (в) согласованный опцион. Формула цены: [описать]. Срок оплаты: [___]. Обеспечение: [___]. Нотариальная форма сделки с долей соблюдается, когда она обязательна.</w:t>
      </w:r>
    </w:p>
    <w:p>
      <w:pPr>
        <w:pStyle w:val="Heading1"/>
      </w:pPr>
      <w:r>
        <w:t>8. Продажа долей и преимущественное право</w:t>
      </w:r>
    </w:p>
    <w:p>
      <w:r>
        <w:t>Стороны соблюдают устав и закон о преимущественном праве. Дополнительные договорные механизмы tag-along/drag-along формулируются так, чтобы не обходить императивные правила и нотариальную форму.</w:t>
      </w:r>
    </w:p>
    <w:p>
      <w:pPr>
        <w:pStyle w:val="Heading1"/>
      </w:pPr>
      <w:r>
        <w:t>9. Нарушение договора</w:t>
      </w:r>
    </w:p>
    <w:p>
      <w:r>
        <w:t>За нарушение конкретной обязанности может быть предусмотрена соразмерная неустойка [условие]. Убытки взыскиваются в доказанном размере. Недопустимые ограничения права участника на обращение в суд не применяются.</w:t>
      </w:r>
    </w:p>
    <w:p>
      <w:pPr>
        <w:pStyle w:val="Heading1"/>
      </w:pPr>
      <w:r>
        <w:t>10. Срок и изменение</w:t>
      </w:r>
    </w:p>
    <w:p>
      <w:r>
        <w:t>Договор действует с даты подписания до [событие]. Изменения — письменно всеми сторонами, если иной порядок не установлен законом.</w:t>
      </w:r>
    </w:p>
    <w:p>
      <w:r>
        <w:t>Дата: «___» __________ 20___ г.</w:t>
      </w:r>
    </w:p>
    <w:p>
      <w:r>
        <w:t>Участник 1: __________________ / [Ф.И.О.] /</w:t>
      </w:r>
    </w:p>
    <w:p>
      <w:r>
        <w:t>Участник 2: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