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(до 100 тыс.) / Районный суд (свыше)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об обмене товара ненадлежащего качества на аналогичный</w:t>
      </w:r>
    </w:p>
    <w:p>
      <w:r>
        <w:t xml:space="preserve">«___» ________ 20__ г. я приобрёл(а) у Ответчика товар: [наименование, модель] за [сумма] руб.</w:t>
      </w:r>
    </w:p>
    <w:p>
      <w:r>
        <w:t xml:space="preserve">В товаре выявлены недостатки: [описание].</w:t>
      </w:r>
    </w:p>
    <w:p>
      <w:r>
        <w:t xml:space="preserve">«___» ________ 20__ г. я потребовал(а) замены товара на аналогичный товар этой же марки (модели, артикула).</w:t>
      </w:r>
    </w:p>
    <w:p>
      <w:r>
        <w:t xml:space="preserve">На день обращения аналогичный товар у Ответчика отсутствовал, срок замены — 7 дней с момента поступления (или 20 дней при отсутствии) — нарушен.</w:t>
      </w:r>
    </w:p>
    <w:p/>
    <w:p>
      <w:r>
        <w:t xml:space="preserve">На основании изложенного, руководствуясь ст. 18, 21 ЗоЗПП, ст. 475 ГК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заменить недоброкачественный товар на аналогичный.</w:t>
      </w:r>
    </w:p>
    <w:p>
      <w:r>
        <w:t xml:space="preserve">2. Взыскать неустойку 1% в день за просрочку замены — [сумма] руб.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ЗоЗПП.</w:t>
      </w:r>
    </w:p>
    <w:p/>
    <w:p>
      <w:r>
        <w:t xml:space="preserve">Приложения:</w:t>
      </w:r>
    </w:p>
    <w:p>
      <w:r>
        <w:t xml:space="preserve">1. чек</w:t>
      </w:r>
    </w:p>
    <w:p>
      <w:r>
        <w:t xml:space="preserve">2. претензия с требованием замены</w:t>
      </w:r>
    </w:p>
    <w:p>
      <w:r>
        <w:t xml:space="preserve">3. акт сервисного центра</w:t>
      </w:r>
    </w:p>
    <w:p>
      <w:r>
        <w:t xml:space="preserve">4. расчёт неустойки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Срок замены: 7 дней (есть в наличии) / 20 дней (нет) / 1 месяц (по гарантии).</w:t>
      </w:r>
    </w:p>
    <w:p>
      <w:r>
        <w:rPr>
          <w:i/>
          <w:iCs/>
          <w:sz w:val="18"/>
          <w:szCs w:val="18"/>
        </w:rPr>
        <w:t xml:space="preserve">• На время замены можно требовать товар длительного пользования в подмену.</w:t>
      </w:r>
    </w:p>
    <w:p>
      <w:r>
        <w:rPr>
          <w:i/>
          <w:iCs/>
          <w:sz w:val="18"/>
          <w:szCs w:val="18"/>
        </w:rPr>
        <w:t xml:space="preserve">• Подсудность: по выбору истца. До 100 тыс. руб. — мировой, свыше — районный.</w:t>
      </w:r>
    </w:p>
    <w:p>
      <w:r>
        <w:rPr>
          <w:i/>
          <w:iCs/>
          <w:sz w:val="18"/>
          <w:szCs w:val="18"/>
        </w:rPr>
        <w:t xml:space="preserve">• Связанные документы: [rastorzhenie-kupli-prodazhi-vozvrat]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2026-08-22T06:27:15.134Z</dcterms:created>
  <dcterms:modified xsi:type="dcterms:W3CDTF">2026-08-22T06:27:15.134Z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