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Объяснения об отсутствии заказа и осведомлённости о содержимом посылки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№491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Только после уточнения процессуального статуса и консультации с адвокатом, если проводится проверка или расследование. Шаблон фиксирует проверяемые факты, но не предлагает угадывать происхождение вещества.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[орган дознания / следственный орган]</w:t>
      </w:r>
    </w:p>
    <w:p>
      <w:pPr>
        <w:spacing w:after="40"/>
        <w:jc w:val="left"/>
      </w:pPr>
      <w:r>
        <w:rPr>
          <w:color w:val="14213D"/>
          <w:sz w:val="20"/>
        </w:rPr>
        <w:t>Должностному лицу: [ФИО, должность, номер материала/дела]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Защитник: [ФИО, реквизиты ордера]</w:t>
      </w:r>
    </w:p>
    <w:p>
      <w:pPr>
        <w:pStyle w:val="Heading1"/>
      </w:pPr>
      <w:r>
        <w:t>ПИСЬМЕННЫЕ ОБЪЯСНЕНИЯ</w:t>
      </w:r>
    </w:p>
    <w:p>
      <w:r>
        <w:t>Мне разъяснены мой процессуальный статус, право на помощь адвоката и право не свидетельствовать против себя. Настоящий текст подаётся после консультации с защитником.</w:t>
      </w:r>
    </w:p>
    <w:p>
      <w:r>
        <w:t>Отправление [трек-номер] на моё имя я не заказывал(а), оплату за него не производил(а), его содержимое и отправитель мне неизвестны. Доступ к моим аккаунтам заказа имели / не имели: [факты]. Об отправлении я узнал(а) [когда и как].</w:t>
      </w:r>
    </w:p>
    <w:p>
      <w:r>
        <w:t>До действий сотрудников я отправление [не получал(а) / получил(а) при следующих обстоятельствах], не вскрывал(а), не перемещал(а), не передавал(а) и не распоряжался(ась) его содержимым. Все отличающиеся обстоятельства указываются дословно: [описание].</w:t>
      </w:r>
    </w:p>
    <w:p>
      <w:pPr>
        <w:pStyle w:val="Heading2"/>
      </w:pPr>
      <w:r>
        <w:t>Прошу приобщить и проверить</w:t>
      </w:r>
    </w:p>
    <w:p>
      <w:pPr>
        <w:pStyle w:val="ListNumber"/>
        <w:numPr>
          <w:ilvl w:val="0"/>
          <w:numId w:val="10"/>
        </w:numPr>
      </w:pPr>
      <w:r>
        <w:t>Извещение, трек-данные, обращение оператору доставки, историю реальных заказов и платежей, приложенные к объяснениям.</w:t>
      </w:r>
    </w:p>
    <w:p>
      <w:pPr>
        <w:pStyle w:val="ListNumber"/>
        <w:numPr>
          <w:ilvl w:val="0"/>
          <w:numId w:val="10"/>
        </w:numPr>
      </w:pPr>
      <w:r>
        <w:t>Сведения об оформлении и оплате отправления, отправителе, маршруте, попытках выдачи и видеозаписях пунктов приёма и выдачи.</w:t>
      </w:r>
    </w:p>
    <w:p>
      <w:pPr>
        <w:pStyle w:val="ListNumber"/>
        <w:numPr>
          <w:ilvl w:val="0"/>
          <w:numId w:val="10"/>
        </w:numPr>
      </w:pPr>
      <w:r>
        <w:t>Данные о входах в аккаунты и иные цифровые следы, позволяющие установить лицо, оформившее отправление, с соблюдением процессуального порядка.</w:t>
      </w:r>
    </w:p>
    <w:p>
      <w:pPr>
        <w:pStyle w:val="ListNumber"/>
        <w:numPr>
          <w:ilvl w:val="0"/>
          <w:numId w:val="10"/>
        </w:numPr>
      </w:pPr>
      <w:r>
        <w:t>Обстоятельства фактического обнаружения и упаковки; при необходимости — следы и экспертные данные, способные разграничить действия разных лиц.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фразу о «добровольной выдаче», если предмет уже обнаружен и изымается при обыске, осмотре или задержании. Точная квалификация зависит от вещества, размера, умысла и фактических действий.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извещение и карточка отслеживания;</w:t>
      </w:r>
    </w:p>
    <w:p>
      <w:pPr>
        <w:pStyle w:val="ListBullet"/>
        <w:numPr>
          <w:ilvl w:val="0"/>
          <w:numId w:val="11"/>
        </w:numPr>
      </w:pPr>
      <w:r>
        <w:t>заявление оператору доставки и ответ;</w:t>
      </w:r>
    </w:p>
    <w:p>
      <w:pPr>
        <w:pStyle w:val="ListBullet"/>
        <w:numPr>
          <w:ilvl w:val="0"/>
          <w:numId w:val="11"/>
        </w:numPr>
      </w:pPr>
      <w:r>
        <w:t>история заказов и платежей;</w:t>
      </w:r>
    </w:p>
    <w:p>
      <w:pPr>
        <w:pStyle w:val="ListBullet"/>
        <w:numPr>
          <w:ilvl w:val="0"/>
          <w:numId w:val="11"/>
        </w:numPr>
      </w:pPr>
      <w:r>
        <w:t>документы и носители, перечисленные защитником.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46, 47, 49, 75, 119–122, 144–145 УПК РФ; статьи 48, 49 и 51 Конституции РФ; возможная квалификация проверяется с учётом статей 228, 228.1 и 229.1 УК РФ и установленных фактов.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