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имущества бесхозяйным (для последующего приобретения)</w:t>
      </w:r>
    </w:p>
    <w:p>
      <w:r>
        <w:t xml:space="preserve">Имущество: [описание — дом, квартира, вещь] по адресу: [адрес] не имеет собственника: [собственник умер без наследников / отказался / неизвестен].</w:t>
      </w:r>
    </w:p>
    <w:p>
      <w:r>
        <w:t xml:space="preserve">Я добросовестно, открыто и непрерывно владею этим имуществом как своим собственным с «___» ________ 20__ г.</w:t>
      </w:r>
    </w:p>
    <w:p>
      <w:r>
        <w:t xml:space="preserve">Согласно ст. 225 ГК РФ, бесхозяйное имущество может быть признано таковым судом с последующей передачей в муниципальную собственность; фактический владелец вправе приобрести его по давности (ст. 234 ГК РФ).</w:t>
      </w:r>
    </w:p>
    <w:p/>
    <w:p>
      <w:r>
        <w:t xml:space="preserve">На основании изложенного, руководствуясь ст. 225, 234 ГК РФ, ст. 263, 290–293 ГПК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имущество [описание] бесхозяйным.</w:t>
      </w:r>
    </w:p>
    <w:p>
      <w:r>
        <w:t xml:space="preserve">2. [Далее] Признать за мной право собственности на него (после передачи в муниципальную собственность или по давности).</w:t>
      </w:r>
    </w:p>
    <w:p/>
    <w:p>
      <w:r>
        <w:t xml:space="preserve">Приложения:</w:t>
      </w:r>
    </w:p>
    <w:p>
      <w:r>
        <w:t xml:space="preserve">1. доказательства отсутствия собственника</w:t>
      </w:r>
    </w:p>
    <w:p>
      <w:r>
        <w:t xml:space="preserve">2. доказательства моего владения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Схема: признание бесхозяйным → муниципальная собственность → передача владельцу ИЛИ приобретательная давность.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имущества.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[osoboe-fakt-vladeniya-polzovaniya]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2026-08-17T06:35:57.602Z</dcterms:created>
  <dcterms:modified xsi:type="dcterms:W3CDTF">2026-08-17T06:35:57.602Z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