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Ответ на запрос экспертизы Роспатента по заявке на изобретение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№288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после получения запроса экспертизы. Это оболочка ответа: техническую формулу и изменения должен проверить патентный специалист, чтобы не добавить признаки, отсутствовавшие в первоначальных материалах.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Федеральную службу по интеллектуальной собственности (Роспатент / ФИПС)</w:t>
      </w:r>
    </w:p>
    <w:p>
      <w:pPr>
        <w:spacing w:after="40"/>
        <w:jc w:val="left"/>
      </w:pPr>
      <w:r>
        <w:rPr>
          <w:color w:val="14213D"/>
          <w:sz w:val="20"/>
        </w:rPr>
        <w:t>От заявителя: [ФИО / наименование, адрес, идентификаторы]</w:t>
      </w:r>
    </w:p>
    <w:p>
      <w:pPr>
        <w:spacing w:after="40"/>
        <w:jc w:val="left"/>
      </w:pPr>
      <w:r>
        <w:rPr>
          <w:color w:val="14213D"/>
          <w:sz w:val="20"/>
        </w:rPr>
        <w:t>Заявка № [номер] • дата приоритета [дата]</w:t>
      </w:r>
    </w:p>
    <w:p>
      <w:pPr>
        <w:spacing w:after="40"/>
        <w:jc w:val="left"/>
      </w:pPr>
      <w:r>
        <w:rPr>
          <w:color w:val="14213D"/>
          <w:sz w:val="20"/>
        </w:rPr>
        <w:t>Запрос экспертизы от [дата, номер]</w:t>
      </w:r>
    </w:p>
    <w:p>
      <w:pPr>
        <w:pStyle w:val="Heading1"/>
      </w:pPr>
      <w:r>
        <w:t>ОТВЕТ НА ЗАПРОС ЭКСПЕРТИЗЫ ПО СУЩЕСТВУ</w:t>
      </w:r>
    </w:p>
    <w:p>
      <w:pPr>
        <w:pStyle w:val="Heading2"/>
      </w:pPr>
      <w:r>
        <w:t>ОБСТОЯТЕЛЬСТВА</w:t>
      </w:r>
    </w:p>
    <w:p>
      <w:r>
        <w:t>Получен запрос от [дата] по заявке «[название]». Срок ответа с учётом даты направления и применимых правил истекает [дата]. Настоящим представляются пояснения и документы по каждому пункту запроса.</w:t>
      </w:r>
    </w:p>
    <w:p>
      <w:pPr>
        <w:pStyle w:val="Heading2"/>
      </w:pPr>
      <w:r>
        <w:t>ОТВЕТЫ ПО ПУНКТАМ</w:t>
      </w:r>
    </w:p>
    <w:p>
      <w:pPr>
        <w:pStyle w:val="ListNumber"/>
        <w:numPr>
          <w:ilvl w:val="0"/>
          <w:numId w:val="10"/>
        </w:numPr>
      </w:pPr>
      <w:r>
        <w:t>Пункт 1 запроса: [дословно или кратко]. Ответ заявителя: [доводы со ссылками на первоначальное описание, формулу, чертежи и уровень техники].</w:t>
      </w:r>
    </w:p>
    <w:p>
      <w:pPr>
        <w:pStyle w:val="ListNumber"/>
        <w:numPr>
          <w:ilvl w:val="0"/>
          <w:numId w:val="10"/>
        </w:numPr>
      </w:pPr>
      <w:r>
        <w:t>Пункт 2 запроса: [содержание]. Ответ: [пояснение новизны, изобретательского уровня, промышленной применимости или единства].</w:t>
      </w:r>
    </w:p>
    <w:p>
      <w:pPr>
        <w:pStyle w:val="ListNumber"/>
        <w:numPr>
          <w:ilvl w:val="0"/>
          <w:numId w:val="10"/>
        </w:numPr>
      </w:pPr>
      <w:r>
        <w:t>Изменённая формула: [приложена / не представляется]. Каждое изменение имеет основание в первоначальных материалах: [точные страницы, абзацы, позиции чертежей].</w:t>
      </w:r>
    </w:p>
    <w:p>
      <w:pPr>
        <w:pStyle w:val="ListNumber"/>
        <w:numPr>
          <w:ilvl w:val="0"/>
          <w:numId w:val="10"/>
        </w:numPr>
      </w:pPr>
      <w:r>
        <w:t>Просим продолжить экспертизу и принять приложенные материалы к рассмотрению.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Нельзя исправлением расширять заявку новым техническим материалом. Если срок пропущен или близок к истечению, отдельно проверьте возможность продления или восстановления и требуемую пошлину.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запроса;</w:t>
      </w:r>
    </w:p>
    <w:p>
      <w:pPr>
        <w:pStyle w:val="ListBullet"/>
        <w:numPr>
          <w:ilvl w:val="0"/>
          <w:numId w:val="11"/>
        </w:numPr>
      </w:pPr>
      <w:r>
        <w:t>таблица ответов;</w:t>
      </w:r>
    </w:p>
    <w:p>
      <w:pPr>
        <w:pStyle w:val="ListBullet"/>
        <w:numPr>
          <w:ilvl w:val="0"/>
          <w:numId w:val="11"/>
        </w:numPr>
      </w:pPr>
      <w:r>
        <w:t>изменённая формула с отмеченными изменениями — если подаётся;</w:t>
      </w:r>
    </w:p>
    <w:p>
      <w:pPr>
        <w:pStyle w:val="ListBullet"/>
        <w:numPr>
          <w:ilvl w:val="0"/>
          <w:numId w:val="11"/>
        </w:numPr>
      </w:pPr>
      <w:r>
        <w:t>чистая формула — если требуется;</w:t>
      </w:r>
    </w:p>
    <w:p>
      <w:pPr>
        <w:pStyle w:val="ListBullet"/>
        <w:numPr>
          <w:ilvl w:val="0"/>
          <w:numId w:val="11"/>
        </w:numPr>
      </w:pPr>
      <w:r>
        <w:t>доверенность патентного поверенного;</w:t>
      </w:r>
    </w:p>
    <w:p>
      <w:pPr>
        <w:pStyle w:val="ListBullet"/>
        <w:numPr>
          <w:ilvl w:val="0"/>
          <w:numId w:val="11"/>
        </w:numPr>
      </w:pPr>
      <w:r>
        <w:t>документ об уплате пошлины — когда она предусмотрена.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1375, 1384–1387 ГК РФ; Правила составления, подачи и рассмотрения документов по заявке на изобретение, утверждённые приказом Минэкономразвития России от 21.02.2023 № 107; действующие акты о патентных пошлинах.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