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Отзыв на заявление об оспаривании дарения имущества родственнику в банкротстве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№334</w:t>
      </w:r>
    </w:p>
    <w:p>
      <w:pPr>
        <w:spacing w:after="160"/>
      </w:pPr>
      <w:r>
        <w:rPr>
          <w:b/>
          <w:color w:val="676767"/>
          <w:sz w:val="19"/>
        </w:rPr>
        <w:t>Структура: ДОКУМЕНТ ПО АПК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одаряемым или должником в обособленном споре. Само дарение родственнику и формула «за три года» не означают автоматическую недействительность: нужно проверить конкретное основание, период подозрительности и доказательства каждой стороны.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Арбитражный суд [субъект РФ]</w:t>
      </w:r>
    </w:p>
    <w:p>
      <w:pPr>
        <w:spacing w:after="40"/>
        <w:jc w:val="left"/>
      </w:pPr>
      <w:r>
        <w:rPr>
          <w:color w:val="14213D"/>
          <w:sz w:val="20"/>
        </w:rPr>
        <w:t>Дело о банкротстве № [номер]</w:t>
      </w:r>
    </w:p>
    <w:p>
      <w:pPr>
        <w:spacing w:after="40"/>
        <w:jc w:val="left"/>
      </w:pPr>
      <w:r>
        <w:rPr>
          <w:color w:val="14213D"/>
          <w:sz w:val="20"/>
        </w:rPr>
        <w:t>Ответчик / заинтересованное лицо: [ФИО, адрес, дата рождения, контакты]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[финансовый управляющий / кредитор]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[ФИО]</w:t>
      </w:r>
    </w:p>
    <w:p>
      <w:pPr>
        <w:pStyle w:val="Heading1"/>
      </w:pPr>
      <w:r>
        <w:t>ОТЗЫВ НА ЗАЯВЛЕНИЕ ОБ ОСПАРИВАНИИ ДОГОВОРА ДАРЕНИЯ</w:t>
      </w:r>
    </w:p>
    <w:p>
      <w:pPr>
        <w:pStyle w:val="Heading2"/>
      </w:pPr>
      <w:r>
        <w:t>ОПИСАТЕЛЬНАЯ ЧАСТЬ</w:t>
      </w:r>
    </w:p>
    <w:p>
      <w:r>
        <w:t>Заявитель просит признать недействительным договор дарения [объект] от [дата], ссылаясь на [пункт 1 / пункт 2 статьи 61.2, нормы ГК РФ]. С заявлением [не согласен / согласен частично].</w:t>
      </w:r>
    </w:p>
    <w:p>
      <w:r>
        <w:t>На дату сделки: стоимость имущества [___], размер обязательств должника [___], иное имущество [___], сведения о неплатёжеспособности [___]. Одаряемый узнал о [факты] только [дата] / не знал и не должен был знать [обоснование].</w:t>
      </w:r>
    </w:p>
    <w:p>
      <w:pPr>
        <w:pStyle w:val="Heading2"/>
      </w:pPr>
      <w:r>
        <w:t>МОТИВИРОВОЧНАЯ ЧАСТЬ</w:t>
      </w:r>
    </w:p>
    <w:p>
      <w:r>
        <w:t>Для пункта 1 статьи 61.2 проверяются дата сделки и неравноценность встречного исполнения; для безвозмездной сделки существенна сама её природа, но сохраняются процессуальные вопросы срока и последствий. Для пункта 2 требуется совокупность цели причинить вред, причинения вреда и знания другой стороны; родство может влиять на презумпции, но не заменяет установление всех юридически значимых фактов.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Отказать в удовлетворении заявления полностью / в части [точно] — по изложенным основаниям.</w:t>
      </w:r>
    </w:p>
    <w:p>
      <w:pPr>
        <w:pStyle w:val="ListNumber"/>
        <w:numPr>
          <w:ilvl w:val="0"/>
          <w:numId w:val="10"/>
        </w:numPr>
      </w:pPr>
      <w:r>
        <w:t>Применить срок исковой давности / пресекательный срок — если он пропущен и это подтверждается расчётом.</w:t>
      </w:r>
    </w:p>
    <w:p>
      <w:pPr>
        <w:pStyle w:val="ListNumber"/>
        <w:numPr>
          <w:ilvl w:val="0"/>
          <w:numId w:val="10"/>
        </w:numPr>
      </w:pPr>
      <w:r>
        <w:t>Истребовать [оценку, банковские сведения, материалы дела], без которых невозможно проверить основания заявления.</w:t>
      </w:r>
    </w:p>
    <w:p>
      <w:pPr>
        <w:pStyle w:val="ListNumber"/>
        <w:numPr>
          <w:ilvl w:val="0"/>
          <w:numId w:val="10"/>
        </w:numPr>
      </w:pPr>
      <w:r>
        <w:t>При признании сделки недействительной определить последствия с учётом фактически сохранившегося имущества, добросовестности и встречных требований — если применимо.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отзыв и доказательства направления участникам;</w:t>
      </w:r>
    </w:p>
    <w:p>
      <w:pPr>
        <w:pStyle w:val="ListBullet"/>
        <w:numPr>
          <w:ilvl w:val="0"/>
          <w:numId w:val="11"/>
        </w:numPr>
      </w:pPr>
      <w:r>
        <w:t>договор и документы регистрации;</w:t>
      </w:r>
    </w:p>
    <w:p>
      <w:pPr>
        <w:pStyle w:val="ListBullet"/>
        <w:numPr>
          <w:ilvl w:val="0"/>
          <w:numId w:val="11"/>
        </w:numPr>
      </w:pPr>
      <w:r>
        <w:t>оценка имущества на дату сделки;</w:t>
      </w:r>
    </w:p>
    <w:p>
      <w:pPr>
        <w:pStyle w:val="ListBullet"/>
        <w:numPr>
          <w:ilvl w:val="0"/>
          <w:numId w:val="11"/>
        </w:numPr>
      </w:pPr>
      <w:r>
        <w:t>доказательства имущественного положения должника;</w:t>
      </w:r>
    </w:p>
    <w:p>
      <w:pPr>
        <w:pStyle w:val="ListBullet"/>
        <w:numPr>
          <w:ilvl w:val="0"/>
          <w:numId w:val="11"/>
        </w:numPr>
      </w:pPr>
      <w:r>
        <w:t>переписка и сведения об осведомлённости;</w:t>
      </w:r>
    </w:p>
    <w:p>
      <w:pPr>
        <w:pStyle w:val="ListBullet"/>
        <w:numPr>
          <w:ilvl w:val="0"/>
          <w:numId w:val="11"/>
        </w:numPr>
      </w:pPr>
      <w:r>
        <w:t>доказательства выбытия / сохранности объекта;</w:t>
      </w:r>
    </w:p>
    <w:p>
      <w:pPr>
        <w:pStyle w:val="ListBullet"/>
        <w:numPr>
          <w:ilvl w:val="0"/>
          <w:numId w:val="11"/>
        </w:numPr>
      </w:pPr>
      <w:r>
        <w:t>расчёт срока;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61.1, 61.2, 61.6, 61.8 и 213.32 Федерального закона № 127-ФЗ; статьи 10, 166–181 ГК РФ — в применимой части; статьи 41, 65, 66, 71, 131 и 223 АПК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