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ОТЗЫВ ПОРУЧИТЕЛЯ НА ИСК БАНКА О ВЗЫСКАНИИ КРЕДИТНОЙ ЗАДОЛЖЕННОСТИ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361–367 ГК РФ; статьи 35, 56, 149 ГПК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[районный/мировой суд — определить по подсудности]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Дело №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Ответчик: [поручитель,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Истец: [банк, адрес]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Требования истца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Банк просит взыскать с поручителя [___] руб. по кредиту № [___], поручительство №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Возражения по существу</w:t>
      </w:r>
    </w:p>
    <w:p>
      <w:pPr>
        <w:pStyle w:val="ListBullet"/>
        <w:spacing w:after="40" w:line="245" w:lineRule="auto"/>
      </w:pPr>
      <w:r>
        <w:t>Проверить срок и предел поручительства по договору и п. 6 ст. 367 ГК РФ.</w:t>
      </w:r>
    </w:p>
    <w:p>
      <w:pPr>
        <w:pStyle w:val="ListBullet"/>
        <w:spacing w:after="40" w:line="245" w:lineRule="auto"/>
      </w:pPr>
      <w:r>
        <w:t>Проверить исходный срок исполнения кредита и дату обращения кредитора в суд. Если в пределах годичного срока по требованию до 500 000 руб. банк обращался за судебным приказом, учитывать правовую позицию КС РФ от 26.02.2024 № 8-П.</w:t>
      </w:r>
    </w:p>
    <w:p>
      <w:pPr>
        <w:pStyle w:val="ListBullet"/>
        <w:spacing w:after="40" w:line="245" w:lineRule="auto"/>
      </w:pPr>
      <w:r>
        <w:t>Проверить все платежи заёмщика, страховые выплаты, реализацию залога и иные погашения.</w:t>
      </w:r>
    </w:p>
    <w:p>
      <w:pPr>
        <w:pStyle w:val="ListBullet"/>
        <w:spacing w:after="40" w:line="245" w:lineRule="auto"/>
      </w:pPr>
      <w:r>
        <w:t>Неустойку проверить на расчёт и при наличии оснований заявить о снижении по ст. 333 ГК РФ.</w:t>
      </w:r>
    </w:p>
    <w:p>
      <w:pPr>
        <w:pStyle w:val="ListBullet"/>
        <w:spacing w:after="40" w:line="245" w:lineRule="auto"/>
      </w:pPr>
      <w:r>
        <w:t>Если кредит изменялся без согласия поручителя, определить объём ответственности по действующим правилам.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D9EAF7"/>
          </w:tcPr>
          <w:p>
            <w:r>
              <w:t>Компонент</w:t>
            </w:r>
          </w:p>
        </w:tc>
        <w:tc>
          <w:tcPr>
            <w:tcW w:type="dxa" w:w="2550"/>
            <w:shd w:fill="D9EAF7"/>
          </w:tcPr>
          <w:p>
            <w:r>
              <w:t>Банк</w:t>
            </w:r>
          </w:p>
        </w:tc>
        <w:tc>
          <w:tcPr>
            <w:tcW w:type="dxa" w:w="2550"/>
            <w:shd w:fill="D9EAF7"/>
          </w:tcPr>
          <w:p>
            <w:r>
              <w:t>Ответчик</w:t>
            </w:r>
          </w:p>
        </w:tc>
        <w:tc>
          <w:tcPr>
            <w:tcW w:type="dxa" w:w="2550"/>
            <w:shd w:fill="D9EAF7"/>
          </w:tcPr>
          <w:p>
            <w:r>
              <w:t>Возражение</w:t>
            </w:r>
          </w:p>
        </w:tc>
      </w:tr>
      <w:tr>
        <w:tc>
          <w:tcPr>
            <w:tcW w:type="dxa" w:w="2550"/>
          </w:tcPr>
          <w:p>
            <w:r>
              <w:t>Основной долг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</w:tr>
      <w:tr>
        <w:tc>
          <w:tcPr>
            <w:tcW w:type="dxa" w:w="2550"/>
          </w:tcPr>
          <w:p>
            <w:r>
              <w:t>Проценты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</w:tr>
      <w:tr>
        <w:tc>
          <w:tcPr>
            <w:tcW w:type="dxa" w:w="2550"/>
          </w:tcPr>
          <w:p>
            <w:r>
              <w:t>Неустойка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</w:tr>
      <w:tr>
        <w:tc>
          <w:tcPr>
            <w:tcW w:type="dxa" w:w="2550"/>
          </w:tcPr>
          <w:p>
            <w:r>
              <w:t>Иное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  <w:tc>
          <w:tcPr>
            <w:tcW w:type="dxa" w:w="2550"/>
          </w:tcPr>
          <w:p>
            <w:r>
              <w:t>[___]</w:t>
            </w:r>
          </w:p>
        </w:tc>
      </w:tr>
    </w:tbl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СУД</w:t>
      </w:r>
    </w:p>
    <w:p>
      <w:pPr>
        <w:pStyle w:val="ListNumber"/>
        <w:spacing w:after="40" w:line="245" w:lineRule="auto"/>
      </w:pPr>
      <w:r>
        <w:t>Отказать в иске полностью либо в спорной части [___].</w:t>
      </w:r>
    </w:p>
    <w:p>
      <w:pPr>
        <w:pStyle w:val="ListNumber"/>
        <w:spacing w:after="40" w:line="245" w:lineRule="auto"/>
      </w:pPr>
      <w:r>
        <w:t>Истребовать у банка полный расчёт, историю платежей и документы об обеспечении.</w:t>
      </w:r>
    </w:p>
    <w:p>
      <w:pPr>
        <w:pStyle w:val="ListNumber"/>
        <w:spacing w:after="40" w:line="245" w:lineRule="auto"/>
      </w:pPr>
      <w:r>
        <w:t>Применить последствия прекращения поручительства, если соответствующие обстоятельства доказаны.</w:t>
      </w:r>
    </w:p>
    <w:p>
      <w:pPr>
        <w:pStyle w:val="ListNumber"/>
        <w:spacing w:after="40" w:line="245" w:lineRule="auto"/>
      </w:pPr>
      <w:r>
        <w:t>Снизить неустойку при наличии оснований.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договор поручительства</w:t>
      </w:r>
    </w:p>
    <w:p>
      <w:pPr>
        <w:pStyle w:val="ListBullet"/>
        <w:spacing w:after="40" w:line="245" w:lineRule="auto"/>
      </w:pPr>
      <w:r>
        <w:t>кредитный договор и изменения</w:t>
      </w:r>
    </w:p>
    <w:p>
      <w:pPr>
        <w:pStyle w:val="ListBullet"/>
        <w:spacing w:after="40" w:line="245" w:lineRule="auto"/>
      </w:pPr>
      <w:r>
        <w:t>платёжные документы</w:t>
      </w:r>
    </w:p>
    <w:p>
      <w:pPr>
        <w:pStyle w:val="ListBullet"/>
        <w:spacing w:after="40" w:line="245" w:lineRule="auto"/>
      </w:pPr>
      <w:r>
        <w:t>судебный приказ/определение об отмене — если было</w:t>
      </w:r>
    </w:p>
    <w:p>
      <w:pPr>
        <w:pStyle w:val="ListBullet"/>
        <w:spacing w:after="40" w:line="245" w:lineRule="auto"/>
      </w:pPr>
      <w:r>
        <w:t>контррасчёт</w:t>
      </w:r>
    </w:p>
    <w:p>
      <w:pPr>
        <w:pStyle w:val="ListBullet"/>
        <w:spacing w:after="40" w:line="245" w:lineRule="auto"/>
      </w:pPr>
      <w:r>
        <w:t>документы страхования/залога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