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ОТЗЫВ НА ЗАЯВЛЕНИЕ О ПРИВЛЕЧЕНИИ К СУБСИДИАРНОЙ ОТВЕТСТВЕННОСТИ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61.10–61.14 Закона № 127-ФЗ; АПК РФ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Арбитражный суд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Дело о банкротстве №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Ответчик по обособленному спору: [Ф.И.О., адрес]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Заявитель: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Заявитель вменяет: [действия/бездействие], период [___], размер [___] руб.</w:t>
      </w:r>
    </w:p>
    <w:p>
      <w:pPr>
        <w:pStyle w:val="ListBullet"/>
        <w:spacing w:after="40" w:line="245" w:lineRule="auto"/>
      </w:pPr>
      <w:r>
        <w:t>Роль ответчика и реальный объём контроля: [___].</w:t>
      </w:r>
    </w:p>
    <w:p>
      <w:pPr>
        <w:pStyle w:val="ListBullet"/>
        <w:spacing w:after="40" w:line="245" w:lineRule="auto"/>
      </w:pPr>
      <w:r>
        <w:t>Дата возникновения объективного банкротства по позиции ответчика: [___].</w:t>
      </w:r>
    </w:p>
    <w:p>
      <w:pPr>
        <w:pStyle w:val="ListBullet"/>
        <w:spacing w:after="40" w:line="245" w:lineRule="auto"/>
      </w:pPr>
      <w:r>
        <w:t>Документы и дела переданы [дата] по акту / причины отсутствия: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Отказать в привлечении полностью или в части [___].</w:t>
      </w:r>
    </w:p>
    <w:p>
      <w:pPr>
        <w:pStyle w:val="ListNumber"/>
        <w:spacing w:after="40" w:line="245" w:lineRule="auto"/>
      </w:pPr>
      <w:r>
        <w:t>Исследовать каждое основание отдельно: статус контролирующего лица, противоправность, вина/презумпции, причинная связь, размер.</w:t>
      </w:r>
    </w:p>
    <w:p>
      <w:pPr>
        <w:pStyle w:val="ListNumber"/>
        <w:spacing w:after="40" w:line="245" w:lineRule="auto"/>
      </w:pPr>
      <w:r>
        <w:t>Учесть доказательства добросовестности, разумности и мер по предотвращению большего ущерба.</w:t>
      </w:r>
    </w:p>
    <w:p>
      <w:pPr>
        <w:pStyle w:val="ListNumber"/>
        <w:spacing w:after="40" w:line="245" w:lineRule="auto"/>
      </w:pPr>
      <w:r>
        <w:t>Применить срок из ст. 61.14 Закона о банкротстве, если есть основания и своевременно заявлено о его истечении.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заявление о привлечении</w:t>
      </w:r>
    </w:p>
    <w:p>
      <w:pPr>
        <w:pStyle w:val="ListBullet"/>
        <w:spacing w:after="40" w:line="245" w:lineRule="auto"/>
      </w:pPr>
      <w:r>
        <w:t>документы полномочий</w:t>
      </w:r>
    </w:p>
    <w:p>
      <w:pPr>
        <w:pStyle w:val="ListBullet"/>
        <w:spacing w:after="40" w:line="245" w:lineRule="auto"/>
      </w:pPr>
      <w:r>
        <w:t>акт передачи дел</w:t>
      </w:r>
    </w:p>
    <w:p>
      <w:pPr>
        <w:pStyle w:val="ListBullet"/>
        <w:spacing w:after="40" w:line="245" w:lineRule="auto"/>
      </w:pPr>
      <w:r>
        <w:t>переписка и решения</w:t>
      </w:r>
    </w:p>
    <w:p>
      <w:pPr>
        <w:pStyle w:val="ListBullet"/>
        <w:spacing w:after="40" w:line="245" w:lineRule="auto"/>
      </w:pPr>
      <w:r>
        <w:t>финансовые документы</w:t>
      </w:r>
    </w:p>
    <w:p>
      <w:pPr>
        <w:pStyle w:val="ListBullet"/>
        <w:spacing w:after="40" w:line="245" w:lineRule="auto"/>
      </w:pPr>
      <w:r>
        <w:t>контррасчёт</w:t>
      </w:r>
    </w:p>
    <w:p>
      <w:pPr>
        <w:pStyle w:val="ListBullet"/>
        <w:spacing w:after="40" w:line="245" w:lineRule="auto"/>
      </w:pPr>
      <w:r>
        <w:t>доказательства причин банкротства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