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Предложение второму родителю заключить соглашение о порядке общения с ребёнком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№326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Необязательный, но полезный досудебный документ. Он показывает разумный конкретный график и попытку договориться; сам по себе не заменяет судебное решение и не создаёт исполнительный документ.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[ФИО второго родителя, адрес / способ связи]</w:t>
      </w:r>
    </w:p>
    <w:p>
      <w:pPr>
        <w:spacing w:after="40"/>
        <w:jc w:val="left"/>
      </w:pPr>
      <w:r>
        <w:rPr>
          <w:color w:val="14213D"/>
          <w:sz w:val="20"/>
        </w:rPr>
        <w:t>От: [ФИО отдельно проживающего родителя,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Ребёнок: [ФИО, дата рождения]</w:t>
      </w:r>
    </w:p>
    <w:p>
      <w:pPr>
        <w:pStyle w:val="Heading1"/>
      </w:pPr>
      <w:r>
        <w:t>ПРЕДЛОЖЕНИЕ О ПОРЯДКЕ ОСУЩЕСТВЛЕНИЯ РОДИТЕЛЬСКИХ ПРАВ</w:t>
      </w:r>
    </w:p>
    <w:p>
      <w:r>
        <w:t>После раздельного проживания общение с ребёнком происходит [как] / ограничено с [дата]. Предлагаю письменно согласовать порядок, который сохраняет связь ребёнка с обоими родителями и учитывает его режим.</w:t>
      </w:r>
    </w:p>
    <w:p>
      <w:pPr>
        <w:pStyle w:val="Heading2"/>
      </w:pPr>
      <w:r>
        <w:t>ПРЕДЛАГАЕМЫЙ ПОРЯДОК</w:t>
      </w:r>
    </w:p>
    <w:p>
      <w:pPr>
        <w:pStyle w:val="ListNumber"/>
        <w:numPr>
          <w:ilvl w:val="0"/>
          <w:numId w:val="10"/>
        </w:numPr>
      </w:pPr>
      <w:r>
        <w:t>Личные встречи: [дни, время, место, кто забирает и возвращает].</w:t>
      </w:r>
    </w:p>
    <w:p>
      <w:pPr>
        <w:pStyle w:val="ListNumber"/>
        <w:numPr>
          <w:ilvl w:val="0"/>
          <w:numId w:val="10"/>
        </w:numPr>
      </w:pPr>
      <w:r>
        <w:t>Телефонная и видеосвязь: [время и разумная продолжительность].</w:t>
      </w:r>
    </w:p>
    <w:p>
      <w:pPr>
        <w:pStyle w:val="ListNumber"/>
        <w:numPr>
          <w:ilvl w:val="0"/>
          <w:numId w:val="10"/>
        </w:numPr>
      </w:pPr>
      <w:r>
        <w:t>Выходные, праздники и каникулы: [конкретный порядок и чередование].</w:t>
      </w:r>
    </w:p>
    <w:p>
      <w:pPr>
        <w:pStyle w:val="ListNumber"/>
        <w:numPr>
          <w:ilvl w:val="0"/>
          <w:numId w:val="10"/>
        </w:numPr>
      </w:pPr>
      <w:r>
        <w:t>Обмен сведениями о здоровье, обучении и поездках: [канал и срок уведомления].</w:t>
      </w:r>
    </w:p>
    <w:p>
      <w:pPr>
        <w:pStyle w:val="ListNumber"/>
        <w:numPr>
          <w:ilvl w:val="0"/>
          <w:numId w:val="10"/>
        </w:numPr>
      </w:pPr>
      <w:r>
        <w:t>Порядок изменения графика при болезни и иных уважительных обстоятельствах: [срок уведомления, перенос].</w:t>
      </w:r>
    </w:p>
    <w:p>
      <w:r>
        <w:t>Прошу до [дата] сообщить согласие либо направить встречный график. Готов(а) обсудить медиацию / переговоры с участием органа опеки.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Избегайте угроз и ультиматумов. График должен быть исполнимым: учитывайте возраст, дорогу, сон, школу, кружки и состояние здоровья ребёнка.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проект календарного графика;</w:t>
      </w:r>
    </w:p>
    <w:p>
      <w:pPr>
        <w:pStyle w:val="ListBullet"/>
        <w:numPr>
          <w:ilvl w:val="0"/>
          <w:numId w:val="11"/>
        </w:numPr>
      </w:pPr>
      <w:r>
        <w:t>сведения о расписании ребёнка;</w:t>
      </w:r>
    </w:p>
    <w:p>
      <w:pPr>
        <w:pStyle w:val="ListBullet"/>
        <w:numPr>
          <w:ilvl w:val="0"/>
          <w:numId w:val="11"/>
        </w:numPr>
      </w:pPr>
      <w:r>
        <w:t>предыдущая переписка;</w:t>
      </w:r>
    </w:p>
    <w:p>
      <w:pPr>
        <w:pStyle w:val="ListBullet"/>
        <w:numPr>
          <w:ilvl w:val="0"/>
          <w:numId w:val="11"/>
        </w:numPr>
      </w:pPr>
      <w:r>
        <w:t>документы о безопасных условиях общения — при необходимости.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пункты 1–2 статьи 66 СК РФ; статьи 55, 57 и 65 СК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