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Предложение заключить соглашение о порядке пользования общей квартирой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№314</w:t>
      </w:r>
    </w:p>
    <w:p>
      <w:pPr>
        <w:spacing w:after="160"/>
      </w:pPr>
      <w:r>
        <w:rPr>
          <w:b/>
          <w:color w:val="676767"/>
          <w:sz w:val="19"/>
        </w:rPr>
        <w:t>Структура: ОБРАЩЕНИЕ: адресат и заявитель • обстоятельства • правовые основания • требования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Досудебный документ сособственника. Фиксирует требование выдать ключи и конкретный вариант комнат, общих зон и расходов. Обязательным досудебным порядком обычно не является, но помогает показать суду реальный предмет разногласий.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[ФИО сособственника,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Квартира: [адрес, кадастровый номер]</w:t>
      </w:r>
    </w:p>
    <w:p>
      <w:pPr>
        <w:spacing w:after="40"/>
        <w:jc w:val="left"/>
      </w:pPr>
      <w:r>
        <w:rPr>
          <w:color w:val="14213D"/>
          <w:sz w:val="20"/>
        </w:rPr>
        <w:t>Доли: [размеры долей сторон]</w:t>
      </w:r>
    </w:p>
    <w:p>
      <w:pPr>
        <w:pStyle w:val="Heading1"/>
      </w:pPr>
      <w:r>
        <w:t>ПРЕДЛОЖЕНИЕ ЗАКЛЮЧИТЬ СОГЛАШЕНИЕ О ПОРЯДКЕ ПОЛЬЗОВАНИЯ КВАРТИРОЙ</w:t>
      </w:r>
    </w:p>
    <w:p>
      <w:pPr>
        <w:pStyle w:val="Heading2"/>
      </w:pPr>
      <w:r>
        <w:t>ОБСТОЯТЕЛЬСТВА</w:t>
      </w:r>
    </w:p>
    <w:p>
      <w:r>
        <w:t>Квартира принадлежит нам на праве общей долевой собственности: [ФИО и доли]. Фактически комнаты используются так: [описание]. Возникли разногласия: [не выдаются ключи, заняты комнаты, ограничен доступ].</w:t>
      </w:r>
    </w:p>
    <w:p>
      <w:pPr>
        <w:pStyle w:val="Heading2"/>
      </w:pPr>
      <w:r>
        <w:t>ПРАВОВЫЕ ОСНОВАНИЯ</w:t>
      </w:r>
    </w:p>
    <w:p>
      <w:r>
        <w:t>Владение и пользование общим имуществом осуществляются по соглашению всех участников, а при недостижении соглашения порядок определяет суд. Каждый сособственник вправе пользоваться имуществом соразмерно своей доле без нарушения прав других участников; осуществление гражданских прав исключительно с намерением причинить вред не допускается.</w:t>
      </w:r>
    </w:p>
    <w:p>
      <w:pPr>
        <w:pStyle w:val="Heading2"/>
      </w:pPr>
      <w:r>
        <w:t>ПРЕДЛАГАЕМЫЙ ПОРЯДОК</w:t>
      </w:r>
    </w:p>
    <w:p>
      <w:pPr>
        <w:pStyle w:val="ListNumber"/>
        <w:numPr>
          <w:ilvl w:val="0"/>
          <w:numId w:val="10"/>
        </w:numPr>
      </w:pPr>
      <w:r>
        <w:t>Передать каждому сособственнику комплект ключей и не препятствовать доступу в квартиру.</w:t>
      </w:r>
    </w:p>
    <w:p>
      <w:pPr>
        <w:pStyle w:val="ListNumber"/>
        <w:numPr>
          <w:ilvl w:val="0"/>
          <w:numId w:val="10"/>
        </w:numPr>
      </w:pPr>
      <w:r>
        <w:t>Предоставить [ФИО] в пользование комнату [номер/площадь], [ФИО] — комнату [номер/площадь]; комнаты не становятся отдельной собственностью.</w:t>
      </w:r>
    </w:p>
    <w:p>
      <w:pPr>
        <w:pStyle w:val="ListNumber"/>
        <w:numPr>
          <w:ilvl w:val="0"/>
          <w:numId w:val="10"/>
        </w:numPr>
      </w:pPr>
      <w:r>
        <w:t>Кухню, коридор, санузел и иные общие помещения использовать совместно с соблюдением согласованных правил [кратко].</w:t>
      </w:r>
    </w:p>
    <w:p>
      <w:pPr>
        <w:pStyle w:val="ListNumber"/>
        <w:numPr>
          <w:ilvl w:val="0"/>
          <w:numId w:val="10"/>
        </w:numPr>
      </w:pPr>
      <w:r>
        <w:t>Распределять коммунальные и необходимые эксплуатационные расходы [соразмерно долям / по приборам / иной вариант].</w:t>
      </w:r>
    </w:p>
    <w:p>
      <w:pPr>
        <w:pStyle w:val="ListNumber"/>
        <w:numPr>
          <w:ilvl w:val="0"/>
          <w:numId w:val="10"/>
        </w:numPr>
      </w:pPr>
      <w:r>
        <w:t>Согласовывать проживание иных лиц, ремонт общего имущества и замену замков в пределах закона и настоящего соглашения.</w:t>
      </w:r>
    </w:p>
    <w:p>
      <w:r>
        <w:t>Прошу до [дата] подписать приложенный проект либо направить письменный встречный вариант. При отсутствии соглашения спор будет передан в суд.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Порядок пользования не меняет доли и не превращает комнату в самостоятельный объект. Предложение должно учитывать фактическую планировку, сложившийся порядок, состав семьи и возможность изолированного использования.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проект соглашения;</w:t>
      </w:r>
    </w:p>
    <w:p>
      <w:pPr>
        <w:pStyle w:val="ListBullet"/>
        <w:numPr>
          <w:ilvl w:val="0"/>
          <w:numId w:val="11"/>
        </w:numPr>
      </w:pPr>
      <w:r>
        <w:t>выписка ЕГРН;</w:t>
      </w:r>
    </w:p>
    <w:p>
      <w:pPr>
        <w:pStyle w:val="ListBullet"/>
        <w:numPr>
          <w:ilvl w:val="0"/>
          <w:numId w:val="11"/>
        </w:numPr>
      </w:pPr>
      <w:r>
        <w:t>поэтажный план / экспликация;</w:t>
      </w:r>
    </w:p>
    <w:p>
      <w:pPr>
        <w:pStyle w:val="ListBullet"/>
        <w:numPr>
          <w:ilvl w:val="0"/>
          <w:numId w:val="11"/>
        </w:numPr>
      </w:pPr>
      <w:r>
        <w:t>акт о препятствиях и переписка;</w:t>
      </w:r>
    </w:p>
    <w:p>
      <w:pPr>
        <w:pStyle w:val="ListBullet"/>
        <w:numPr>
          <w:ilvl w:val="0"/>
          <w:numId w:val="11"/>
        </w:numPr>
      </w:pPr>
      <w:r>
        <w:t>расчёт расходов — при необходимости;</w:t>
      </w:r>
    </w:p>
    <w:p>
      <w:pPr>
        <w:pStyle w:val="ListBullet"/>
        <w:numPr>
          <w:ilvl w:val="0"/>
          <w:numId w:val="11"/>
        </w:numPr>
      </w:pPr>
      <w:r>
        <w:t>доверенность представителя.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209, 244–247 ГК РФ; статьи 30 и 31 ЖК РФ; статья 10 ГК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№314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