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Предложения об изменении условий соглашения об изъятии недвижимости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№301–302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Общий образец для статей №301 и 302. Каждый правообладатель направляет свои предложения в течение 90 дней после получения проекта, прилагая оценку и расчёт своих убытков.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[уполномоченный орган и, если применимо, организация, подавшая ходатайство]</w:t>
      </w:r>
    </w:p>
    <w:p>
      <w:pPr>
        <w:spacing w:after="40"/>
        <w:jc w:val="left"/>
      </w:pPr>
      <w:r>
        <w:rPr>
          <w:color w:val="14213D"/>
          <w:sz w:val="20"/>
        </w:rPr>
        <w:t>От правообладателя: [ФИО/наименование, реквизиты]</w:t>
      </w:r>
    </w:p>
    <w:p>
      <w:pPr>
        <w:spacing w:after="40"/>
        <w:jc w:val="left"/>
      </w:pPr>
      <w:r>
        <w:rPr>
          <w:color w:val="14213D"/>
          <w:sz w:val="20"/>
        </w:rPr>
        <w:t>Объекты: [кадастровые номера, права, доля]</w:t>
      </w:r>
    </w:p>
    <w:p>
      <w:pPr>
        <w:spacing w:after="40"/>
        <w:jc w:val="left"/>
      </w:pPr>
      <w:r>
        <w:rPr>
          <w:color w:val="14213D"/>
          <w:sz w:val="20"/>
        </w:rPr>
        <w:t>Решение и проект соглашения: [реквизиты, дата получения]</w:t>
      </w:r>
    </w:p>
    <w:p>
      <w:pPr>
        <w:pStyle w:val="Heading1"/>
      </w:pPr>
      <w:r>
        <w:t>ПРЕДЛОЖЕНИЯ ОБ ИЗМЕНЕНИИ УСЛОВИЙ СОГЛАШЕНИЯ ОБ ИЗЪЯТИИ</w:t>
      </w:r>
    </w:p>
    <w:p>
      <w:pPr>
        <w:pStyle w:val="Heading2"/>
      </w:pPr>
      <w:r>
        <w:t>ОБСТОЯТЕЛЬСТВА</w:t>
      </w:r>
    </w:p>
    <w:p>
      <w:r>
        <w:t>[Дата] получен проект соглашения об изъятии [объекты] с возмещением [сумма]. Заявителю принадлежит [право / доля], что подтверждается [выписка ЕГРН / договор аренды].</w:t>
      </w:r>
    </w:p>
    <w:p>
      <w:r>
        <w:t>Независимая рыночная оценка имущества / права — [сумма], личные убытки — [сумма], упущенная выгода — [сумма]. Итоговое возмещение — [сумма]. Для доли стоимость общего имущества распределена пропорционально; мои убытки рассчитаны отдельно.</w:t>
      </w:r>
    </w:p>
    <w:p>
      <w:pPr>
        <w:pStyle w:val="Heading2"/>
      </w:pPr>
      <w:r>
        <w:t>ПРЕДЛАГАЮ</w:t>
      </w:r>
    </w:p>
    <w:p>
      <w:pPr>
        <w:pStyle w:val="ListNumber"/>
        <w:numPr>
          <w:ilvl w:val="0"/>
          <w:numId w:val="10"/>
        </w:numPr>
      </w:pPr>
      <w:r>
        <w:t>Изменить размер возмещения до [сумма] руб. по прилагаемому расчёту.</w:t>
      </w:r>
    </w:p>
    <w:p>
      <w:pPr>
        <w:pStyle w:val="ListNumber"/>
        <w:numPr>
          <w:ilvl w:val="0"/>
          <w:numId w:val="10"/>
        </w:numPr>
      </w:pPr>
      <w:r>
        <w:t>Включить в соглашение рыночную стоимость всех прекращаемых прав и изымаемых объектов, а также позиции убытков [перечень].</w:t>
      </w:r>
    </w:p>
    <w:p>
      <w:pPr>
        <w:pStyle w:val="ListNumber"/>
        <w:numPr>
          <w:ilvl w:val="0"/>
          <w:numId w:val="10"/>
        </w:numPr>
      </w:pPr>
      <w:r>
        <w:t>Предусмотреть предварительную выплату возмещения до прекращения прав и реальный срок передачи [объект].</w:t>
      </w:r>
    </w:p>
    <w:p>
      <w:pPr>
        <w:pStyle w:val="ListNumber"/>
        <w:numPr>
          <w:ilvl w:val="0"/>
          <w:numId w:val="10"/>
        </w:numPr>
      </w:pPr>
      <w:r>
        <w:t>Направить изменённый проект либо мотивированный ответ на каждое предложение.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подписывайте общее соглашение «за всех» без надлежащих полномочий. Соглашение заключается с каждым правообладателем; общая оценка не отменяет личные убытки.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решение об изъятии и проект соглашения;</w:t>
      </w:r>
    </w:p>
    <w:p>
      <w:pPr>
        <w:pStyle w:val="ListBullet"/>
        <w:numPr>
          <w:ilvl w:val="0"/>
          <w:numId w:val="11"/>
        </w:numPr>
      </w:pPr>
      <w:r>
        <w:t>отчёты об оценке, полученные с проектом;</w:t>
      </w:r>
    </w:p>
    <w:p>
      <w:pPr>
        <w:pStyle w:val="ListBullet"/>
        <w:numPr>
          <w:ilvl w:val="0"/>
          <w:numId w:val="11"/>
        </w:numPr>
      </w:pPr>
      <w:r>
        <w:t>независимая оценка;</w:t>
      </w:r>
    </w:p>
    <w:p>
      <w:pPr>
        <w:pStyle w:val="ListBullet"/>
        <w:numPr>
          <w:ilvl w:val="0"/>
          <w:numId w:val="11"/>
        </w:numPr>
      </w:pPr>
      <w:r>
        <w:t>выписки ЕГРН и документы на права;</w:t>
      </w:r>
    </w:p>
    <w:p>
      <w:pPr>
        <w:pStyle w:val="ListBullet"/>
        <w:numPr>
          <w:ilvl w:val="0"/>
          <w:numId w:val="11"/>
        </w:numPr>
      </w:pPr>
      <w:r>
        <w:t>расчёт убытков и упущенной выгоды;</w:t>
      </w:r>
    </w:p>
    <w:p>
      <w:pPr>
        <w:pStyle w:val="ListBullet"/>
        <w:numPr>
          <w:ilvl w:val="0"/>
          <w:numId w:val="11"/>
        </w:numPr>
      </w:pPr>
      <w:r>
        <w:t>договоры, бухгалтерские и платёжные документы;</w:t>
      </w:r>
    </w:p>
    <w:p>
      <w:pPr>
        <w:pStyle w:val="ListBullet"/>
        <w:numPr>
          <w:ilvl w:val="0"/>
          <w:numId w:val="11"/>
        </w:numPr>
      </w:pPr>
      <w:r>
        <w:t>доказательство даты получения проекта.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279–282 ГК РФ; статьи 56.8–56.11 ЗК РФ; Федеральный закон от 29.07.1998 № 135-ФЗ.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№301–302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