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АЗС о возмещении ущерба от некачественного топлива</w:t>
      </w:r>
    </w:p>
    <w:p>
      <w:pPr>
        <w:pStyle w:val="SmallNote"/>
      </w:pPr>
      <w:r>
        <w:t>Категория: Претензии  •  Статья сайта: №252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фиксации покупки, технической причины поломки и размера расходов. Претензия должна связывать конкретную заправку, свойства топлива и повреждение автомобиля.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Продавцу топлива: [наименование,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От потребителя: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АЗС / чек: [адрес, дата, номер]</w:t>
      </w:r>
    </w:p>
    <w:p>
      <w:pPr>
        <w:pStyle w:val="Heading1"/>
      </w:pPr>
      <w:r>
        <w:t>ПРЕТЕНЗИЯ О НЕДОСТАТКАХ ТОПЛИВА И ВОЗМЕЩЕНИИ УБЫТКОВ</w:t>
      </w:r>
    </w:p>
    <w:p>
      <w:pPr>
        <w:pStyle w:val="Heading2"/>
      </w:pPr>
      <w:r>
        <w:t>ОБСТОЯТЕЛЬСТВА</w:t>
      </w:r>
    </w:p>
    <w:p>
      <w:r>
        <w:t>[Дата] приобретено [объём, вид] топлива за [сумма]. После заправки [последовательность симптомов]. Автомобиль [марка] до события имел состояние [кратко].</w:t>
      </w:r>
    </w:p>
    <w:p>
      <w:r>
        <w:t>Причина и стоимость подтверждаются [диагностика, заключение, анализ пробы, заказ-наряд]. Продавец приглашён на осмотр/отбор проб [дата].</w:t>
      </w:r>
    </w:p>
    <w:p>
      <w:pPr>
        <w:pStyle w:val="Heading2"/>
      </w:pPr>
      <w:r>
        <w:t>ПРАВОВЫЕ ОСНОВАНИЯ</w:t>
      </w:r>
    </w:p>
    <w:p>
      <w:r>
        <w:t>Потребитель вправе требовать возврата цены товара ненадлежащего качества и полного возмещения причинённых недостатком убытков при доказанной причинной связи. Продавец вправе провести проверку качества; спор о причине обычно требует специального исследования.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Вернуть стоимость топлива [сумма] руб.</w:t>
      </w:r>
    </w:p>
    <w:p>
      <w:pPr>
        <w:pStyle w:val="ListNumber"/>
        <w:numPr>
          <w:ilvl w:val="0"/>
          <w:numId w:val="10"/>
        </w:numPr>
      </w:pPr>
      <w:r>
        <w:t>Возместить эвакуацию, диагностику, очистку системы, ремонт и иные необходимые расходы [сумма] руб.</w:t>
      </w:r>
    </w:p>
    <w:p>
      <w:pPr>
        <w:pStyle w:val="ListNumber"/>
        <w:numPr>
          <w:ilvl w:val="0"/>
          <w:numId w:val="10"/>
        </w:numPr>
      </w:pPr>
      <w:r>
        <w:t>Организовать за свой счёт совместную проверку качества / экспертизу с предварительным уведомлением меня о месте и времени.</w:t>
      </w:r>
    </w:p>
    <w:p>
      <w:pPr>
        <w:pStyle w:val="ListNumber"/>
        <w:numPr>
          <w:ilvl w:val="0"/>
          <w:numId w:val="10"/>
        </w:numPr>
      </w:pPr>
      <w:r>
        <w:t>Выдать мотивированный письменный ответ и копии документов, на которых он основан.</w:t>
      </w:r>
    </w:p>
    <w:p>
      <w:pPr>
        <w:pStyle w:val="ListNumber"/>
        <w:numPr>
          <w:ilvl w:val="0"/>
          <w:numId w:val="10"/>
        </w:numPr>
      </w:pPr>
      <w:r>
        <w:t>Уплатить предусмотренные законом суммы при нарушении срока удовлетворения обоснованных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ремонтируйте автомобиль без фиксации причин, если это лишит стороны возможности исследовать топливо и узлы. Расходы на экспертизу могут быть возложены на потребителя, если будет доказано отсутствие ответственности продавца.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/ выписка;</w:t>
      </w:r>
    </w:p>
    <w:p>
      <w:pPr>
        <w:pStyle w:val="ListBullet"/>
        <w:numPr>
          <w:ilvl w:val="0"/>
          <w:numId w:val="11"/>
        </w:numPr>
      </w:pPr>
      <w:r>
        <w:t>диагностика и заключение;</w:t>
      </w:r>
    </w:p>
    <w:p>
      <w:pPr>
        <w:pStyle w:val="ListBullet"/>
        <w:numPr>
          <w:ilvl w:val="0"/>
          <w:numId w:val="11"/>
        </w:numPr>
      </w:pPr>
      <w:r>
        <w:t>акт отбора и анализ пробы — при наличии;</w:t>
      </w:r>
    </w:p>
    <w:p>
      <w:pPr>
        <w:pStyle w:val="ListBullet"/>
        <w:numPr>
          <w:ilvl w:val="0"/>
          <w:numId w:val="11"/>
        </w:numPr>
      </w:pPr>
      <w:r>
        <w:t>заказ-наряд, чеки, эвакуация;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требование о сохранении доказательств;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10, 12, 13–15, 18, 22 и 23 Закона РФ № 2300-1; статьи 15, 393, 469, 475 и 503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